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jpeg" ContentType="image/jpeg"/>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7"/>
                    <a:srcRect/>
                    <a:stretch>
                      <a:fillRect/>
                    </a:stretch>
                  </pic:blipFill>
                  <pic:spPr bwMode="auto">
                    <a:xfrm>
                      <a:off x="0" y="0"/>
                      <a:ext cx="3745865" cy="962025"/>
                    </a:xfrm>
                    <a:prstGeom prst="rect">
                      <a:avLst/>
                    </a:prstGeom>
                    <a:noFill/>
                  </pic:spPr>
                </pic:pic>
              </a:graphicData>
            </a:graphic>
          </wp:anchor>
        </w:drawing>
      </w:r>
    </w:p>
    <w:p w:rsidR="000D11E1" w:rsidRPr="00FA66BD" w:rsidRDefault="000D11E1" w:rsidP="00580EBE">
      <w:pPr>
        <w:rPr>
          <w:rFonts w:asciiTheme="minorHAnsi" w:hAnsiTheme="minorHAnsi"/>
          <w:szCs w:val="24"/>
        </w:rPr>
      </w:pPr>
    </w:p>
    <w:p w:rsidR="000D11E1" w:rsidRPr="00FA66BD" w:rsidRDefault="000D11E1" w:rsidP="00580EBE">
      <w:pPr>
        <w:rPr>
          <w:rFonts w:asciiTheme="minorHAnsi" w:hAnsiTheme="minorHAnsi"/>
          <w:szCs w:val="24"/>
        </w:rPr>
      </w:pPr>
    </w:p>
    <w:p w:rsidR="000D11E1" w:rsidRPr="00FA66BD" w:rsidRDefault="000D11E1" w:rsidP="00580EBE">
      <w:pPr>
        <w:rPr>
          <w:rFonts w:asciiTheme="minorHAnsi" w:hAnsiTheme="minorHAnsi"/>
        </w:rPr>
      </w:pPr>
    </w:p>
    <w:p w:rsidR="000D11E1" w:rsidRPr="00FA66BD" w:rsidRDefault="00144AB9" w:rsidP="00580EBE">
      <w:pPr>
        <w:rPr>
          <w:rFonts w:asciiTheme="minorHAnsi" w:hAnsiTheme="minorHAnsi"/>
          <w:sz w:val="12"/>
          <w:szCs w:val="12"/>
        </w:rPr>
      </w:pPr>
      <w:r w:rsidRPr="00144AB9">
        <w:rPr>
          <w:rFonts w:asciiTheme="minorHAnsi" w:hAnsiTheme="minorHAnsi"/>
          <w:noProof/>
          <w:lang w:eastAsia="de-DE"/>
        </w:rPr>
        <w:pict>
          <v:shapetype id="_x0000_t32" coordsize="21600,21600" o:spt="32" o:oned="t" path="m0,0l21600,21600e" filled="f">
            <v:path arrowok="t" fillok="f" o:connecttype="none"/>
            <o:lock v:ext="edit" shapetype="t"/>
          </v:shapetype>
          <v:shape id="_x0000_s1032" type="#_x0000_t32" style="position:absolute;margin-left:.4pt;margin-top:.3pt;width:469.5pt;height:0;z-index:251659264" o:connectortype="straight" strokecolor="#943634" strokeweight="3pt">
            <v:shadow type="perspective" color="#622423" opacity=".5" offset="1pt" offset2="-1pt"/>
          </v:shape>
        </w:pict>
      </w:r>
    </w:p>
    <w:p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Wintersemester 2012-13 (Arbeitsblatt 1</w:t>
      </w:r>
      <w:r w:rsidR="00B65C9D">
        <w:rPr>
          <w:rFonts w:asciiTheme="minorHAnsi" w:hAnsiTheme="minorHAnsi"/>
          <w:sz w:val="32"/>
          <w:szCs w:val="48"/>
        </w:rPr>
        <w:t>)</w:t>
      </w:r>
    </w:p>
    <w:p w:rsidR="000D11E1" w:rsidRPr="00FA66BD" w:rsidRDefault="00144AB9" w:rsidP="00580EBE">
      <w:pPr>
        <w:rPr>
          <w:rFonts w:asciiTheme="minorHAnsi" w:hAnsiTheme="minorHAnsi"/>
          <w:sz w:val="12"/>
          <w:szCs w:val="12"/>
        </w:rPr>
      </w:pPr>
      <w:r w:rsidRPr="00144AB9">
        <w:rPr>
          <w:rFonts w:asciiTheme="minorHAnsi" w:hAnsiTheme="minorHAnsi"/>
          <w:noProof/>
          <w:lang w:eastAsia="de-DE"/>
        </w:rPr>
        <w:pict>
          <v:rect id="_x0000_s1033" style="position:absolute;margin-left:.4pt;margin-top:4.2pt;width:469.5pt;height:8.25pt;z-index:251660288" fillcolor="#c00000" stroked="f"/>
        </w:pict>
      </w:r>
    </w:p>
    <w:p w:rsidR="000D11E1" w:rsidRPr="00FA66BD" w:rsidRDefault="000D11E1" w:rsidP="00580EBE">
      <w:pPr>
        <w:rPr>
          <w:rFonts w:asciiTheme="minorHAnsi" w:hAnsiTheme="minorHAnsi"/>
          <w:sz w:val="12"/>
          <w:szCs w:val="12"/>
        </w:rPr>
      </w:pPr>
    </w:p>
    <w:p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EC5674">
        <w:rPr>
          <w:rFonts w:asciiTheme="minorHAnsi" w:hAnsiTheme="minorHAnsi"/>
          <w:sz w:val="28"/>
          <w:szCs w:val="32"/>
        </w:rPr>
        <w:t>19. O</w:t>
      </w:r>
      <w:r w:rsidR="00EC5674">
        <w:rPr>
          <w:rFonts w:asciiTheme="minorHAnsi" w:hAnsiTheme="minorHAnsi"/>
          <w:sz w:val="28"/>
          <w:szCs w:val="32"/>
        </w:rPr>
        <w:t>k</w:t>
      </w:r>
      <w:r w:rsidR="00EC5674">
        <w:rPr>
          <w:rFonts w:asciiTheme="minorHAnsi" w:hAnsiTheme="minorHAnsi"/>
          <w:sz w:val="28"/>
          <w:szCs w:val="32"/>
        </w:rPr>
        <w:t xml:space="preserve">tober </w:t>
      </w:r>
      <w:r w:rsidR="009E704F">
        <w:rPr>
          <w:rFonts w:asciiTheme="minorHAnsi" w:hAnsiTheme="minorHAnsi"/>
          <w:sz w:val="28"/>
          <w:szCs w:val="32"/>
        </w:rPr>
        <w:t>2012</w:t>
      </w:r>
    </w:p>
    <w:p w:rsidR="0077766E" w:rsidRPr="008F4AA6" w:rsidRDefault="0077766E" w:rsidP="007515B2">
      <w:pPr>
        <w:pStyle w:val="berschrift1"/>
        <w:keepNext w:val="0"/>
        <w:keepLines w:val="0"/>
        <w:widowControl w:val="0"/>
        <w:rPr>
          <w:rFonts w:cs="Times New Roman"/>
        </w:rPr>
      </w:pPr>
      <w:bookmarkStart w:id="0" w:name="OLE_LINK13"/>
      <w:bookmarkStart w:id="1" w:name="OLE_LINK14"/>
      <w:bookmarkStart w:id="2" w:name="_Toc211165368"/>
      <w:r>
        <w:t>1. Einführung in die Vorlesung</w:t>
      </w:r>
      <w:bookmarkStart w:id="3" w:name="_Toc211165369"/>
      <w:bookmarkEnd w:id="2"/>
    </w:p>
    <w:p w:rsidR="007515B2" w:rsidRDefault="008258F8" w:rsidP="007515B2">
      <w:pPr>
        <w:pStyle w:val="berschrift2"/>
        <w:keepNext w:val="0"/>
        <w:keepLines w:val="0"/>
        <w:widowControl w:val="0"/>
      </w:pPr>
      <w:bookmarkStart w:id="4" w:name="_Toc211165370"/>
      <w:bookmarkStart w:id="5" w:name="_Toc211165372"/>
      <w:bookmarkEnd w:id="3"/>
      <w:r>
        <w:t>1.1 Hinweise zur Vorlesungsdidaktik</w:t>
      </w:r>
      <w:bookmarkEnd w:id="5"/>
    </w:p>
    <w:p w:rsidR="008258F8" w:rsidRPr="007515B2" w:rsidRDefault="007515B2" w:rsidP="007515B2">
      <w:pPr>
        <w:jc w:val="center"/>
      </w:pPr>
      <w:r w:rsidRPr="007515B2">
        <w:drawing>
          <wp:inline distT="0" distB="0" distL="0" distR="0">
            <wp:extent cx="2511479" cy="1882629"/>
            <wp:effectExtent l="25400" t="0" r="3121"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514990" cy="1885261"/>
                    </a:xfrm>
                    <a:prstGeom prst="rect">
                      <a:avLst/>
                    </a:prstGeom>
                    <a:noFill/>
                    <a:ln w="9525">
                      <a:noFill/>
                      <a:miter lim="800000"/>
                      <a:headEnd/>
                      <a:tailEnd/>
                    </a:ln>
                  </pic:spPr>
                </pic:pic>
              </a:graphicData>
            </a:graphic>
          </wp:inline>
        </w:drawing>
      </w:r>
    </w:p>
    <w:p w:rsidR="003A30C5" w:rsidRDefault="003A30C5" w:rsidP="007515B2">
      <w:pPr>
        <w:pStyle w:val="berschrift2"/>
        <w:keepNext w:val="0"/>
        <w:keepLines w:val="0"/>
      </w:pPr>
      <w:bookmarkStart w:id="6" w:name="_Toc211165373"/>
      <w:r>
        <w:t>1.2 Übersicht über die Themen der Vorlesung</w:t>
      </w:r>
      <w:bookmarkEnd w:id="6"/>
    </w:p>
    <w:p w:rsidR="003A30C5" w:rsidRPr="00196C3D" w:rsidRDefault="009A4491" w:rsidP="003A30C5">
      <w:pPr>
        <w:jc w:val="center"/>
      </w:pPr>
      <w:r w:rsidRPr="009A4491">
        <w:drawing>
          <wp:inline distT="0" distB="0" distL="0" distR="0">
            <wp:extent cx="4149366" cy="3110406"/>
            <wp:effectExtent l="2540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149366" cy="3110406"/>
                    </a:xfrm>
                    <a:prstGeom prst="rect">
                      <a:avLst/>
                    </a:prstGeom>
                    <a:noFill/>
                    <a:ln w="9525">
                      <a:noFill/>
                      <a:miter lim="800000"/>
                      <a:headEnd/>
                      <a:tailEnd/>
                    </a:ln>
                  </pic:spPr>
                </pic:pic>
              </a:graphicData>
            </a:graphic>
          </wp:inline>
        </w:drawing>
      </w:r>
    </w:p>
    <w:p w:rsidR="001B21AF" w:rsidRDefault="001B21AF" w:rsidP="001B21AF">
      <w:pPr>
        <w:pStyle w:val="berschrift2"/>
        <w:rPr>
          <w:rFonts w:eastAsiaTheme="majorEastAsia"/>
        </w:rPr>
      </w:pPr>
      <w:bookmarkStart w:id="7" w:name="_Toc212181145"/>
      <w:r>
        <w:rPr>
          <w:rFonts w:eastAsiaTheme="majorEastAsia"/>
        </w:rPr>
        <w:t xml:space="preserve">1.3 </w:t>
      </w:r>
      <w:r w:rsidRPr="00F571D0">
        <w:rPr>
          <w:rFonts w:eastAsiaTheme="majorEastAsia"/>
        </w:rPr>
        <w:t>„Ich werde meine Gemeinde bauen“ (</w:t>
      </w:r>
      <w:proofErr w:type="spellStart"/>
      <w:r w:rsidRPr="00F571D0">
        <w:rPr>
          <w:rFonts w:eastAsiaTheme="majorEastAsia"/>
        </w:rPr>
        <w:t>Mt</w:t>
      </w:r>
      <w:proofErr w:type="spellEnd"/>
      <w:r w:rsidRPr="00F571D0">
        <w:rPr>
          <w:rFonts w:eastAsiaTheme="majorEastAsia"/>
        </w:rPr>
        <w:t xml:space="preserve"> 16) – Das theologische Fund</w:t>
      </w:r>
      <w:r w:rsidRPr="00F571D0">
        <w:rPr>
          <w:rFonts w:eastAsiaTheme="majorEastAsia"/>
        </w:rPr>
        <w:t>a</w:t>
      </w:r>
      <w:r w:rsidRPr="00F571D0">
        <w:rPr>
          <w:rFonts w:eastAsiaTheme="majorEastAsia"/>
        </w:rPr>
        <w:t>ment des Gemeindeaufbaus</w:t>
      </w:r>
      <w:bookmarkEnd w:id="7"/>
    </w:p>
    <w:p w:rsidR="001B21AF" w:rsidRDefault="001B21AF" w:rsidP="001B21AF">
      <w:pPr>
        <w:pStyle w:val="berschrift3"/>
      </w:pPr>
      <w:bookmarkStart w:id="8" w:name="_Toc212176989"/>
      <w:bookmarkStart w:id="9" w:name="OLE_LINK49"/>
      <w:bookmarkStart w:id="10" w:name="OLE_LINK50"/>
      <w:bookmarkStart w:id="11" w:name="_Toc212181146"/>
      <w:r>
        <w:t>1.3.1</w:t>
      </w:r>
      <w:bookmarkStart w:id="12" w:name="_Toc212176990"/>
      <w:bookmarkEnd w:id="8"/>
      <w:bookmarkEnd w:id="9"/>
      <w:bookmarkEnd w:id="10"/>
      <w:r>
        <w:t xml:space="preserve"> Eigentlich wissen wir doch sehr genau, was eine Gemeinde ist…</w:t>
      </w:r>
      <w:bookmarkEnd w:id="11"/>
      <w:bookmarkEnd w:id="12"/>
    </w:p>
    <w:p w:rsidR="00985B0C" w:rsidRDefault="001B21AF" w:rsidP="00985B0C">
      <w:pPr>
        <w:pStyle w:val="berschrift4"/>
      </w:pPr>
      <w:r>
        <w:t>Größenordnungen</w:t>
      </w:r>
    </w:p>
    <w:p w:rsidR="006872B5" w:rsidRDefault="006872B5" w:rsidP="001B21AF">
      <w:r>
        <w:t xml:space="preserve">In der Regel denken wir </w:t>
      </w:r>
      <w:r w:rsidR="001B21AF">
        <w:t>bei Gemeinde an eine „Zwischengröße“ zwischen der großen Kirche und den kleinen Gese</w:t>
      </w:r>
      <w:r w:rsidR="001B21AF">
        <w:t>l</w:t>
      </w:r>
      <w:r w:rsidR="001B21AF">
        <w:t>ligkeitsformen.</w:t>
      </w:r>
      <w:r w:rsidR="00105A92">
        <w:rPr>
          <w:rStyle w:val="Funotenzeichen"/>
          <w:rFonts w:asciiTheme="minorHAnsi" w:hAnsiTheme="minorHAnsi"/>
        </w:rPr>
        <w:footnoteReference w:id="1"/>
      </w:r>
    </w:p>
    <w:p w:rsidR="001B21AF" w:rsidRPr="00E20755" w:rsidRDefault="006872B5" w:rsidP="006872B5">
      <w:pPr>
        <w:jc w:val="center"/>
      </w:pPr>
      <w:r w:rsidRPr="006872B5">
        <w:drawing>
          <wp:inline distT="0" distB="0" distL="0" distR="0">
            <wp:extent cx="5091799" cy="3816863"/>
            <wp:effectExtent l="2540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90969" cy="3816241"/>
                    </a:xfrm>
                    <a:prstGeom prst="rect">
                      <a:avLst/>
                    </a:prstGeom>
                    <a:noFill/>
                    <a:ln w="9525">
                      <a:noFill/>
                      <a:miter lim="800000"/>
                      <a:headEnd/>
                      <a:tailEnd/>
                    </a:ln>
                  </pic:spPr>
                </pic:pic>
              </a:graphicData>
            </a:graphic>
          </wp:inline>
        </w:drawing>
      </w:r>
    </w:p>
    <w:p w:rsidR="001B21AF" w:rsidRPr="00E20755" w:rsidRDefault="000A2300" w:rsidP="001B21AF">
      <w:pPr>
        <w:rPr>
          <w:rFonts w:asciiTheme="minorHAnsi" w:hAnsiTheme="minorHAnsi"/>
          <w:sz w:val="20"/>
        </w:rPr>
      </w:pPr>
      <w:r>
        <w:rPr>
          <w:sz w:val="20"/>
        </w:rPr>
        <w:t>Im n</w:t>
      </w:r>
      <w:r w:rsidR="001B21AF" w:rsidRPr="00797BBB">
        <w:rPr>
          <w:sz w:val="20"/>
        </w:rPr>
        <w:t xml:space="preserve">eutestamentlichen Gebrauch </w:t>
      </w:r>
      <w:r>
        <w:rPr>
          <w:sz w:val="20"/>
        </w:rPr>
        <w:t xml:space="preserve">steht </w:t>
      </w:r>
      <w:bookmarkStart w:id="13" w:name="OLE_LINK1"/>
      <w:bookmarkStart w:id="14" w:name="OLE_LINK2"/>
      <w:proofErr w:type="spellStart"/>
      <w:r w:rsidR="001B21AF" w:rsidRPr="00797BBB">
        <w:rPr>
          <w:rFonts w:ascii="Bwgrkl" w:hAnsi="Bwgrkl"/>
          <w:sz w:val="20"/>
        </w:rPr>
        <w:t>evkklhsi,a</w:t>
      </w:r>
      <w:bookmarkEnd w:id="13"/>
      <w:bookmarkEnd w:id="14"/>
      <w:proofErr w:type="spellEnd"/>
      <w:r w:rsidR="001B21AF" w:rsidRPr="00797BBB">
        <w:rPr>
          <w:rFonts w:asciiTheme="minorHAnsi" w:hAnsiTheme="minorHAnsi"/>
          <w:sz w:val="20"/>
        </w:rPr>
        <w:t xml:space="preserve"> für die kleine Hausgemeinde</w:t>
      </w:r>
      <w:r w:rsidR="001B21AF">
        <w:rPr>
          <w:rFonts w:asciiTheme="minorHAnsi" w:hAnsiTheme="minorHAnsi"/>
          <w:sz w:val="20"/>
        </w:rPr>
        <w:t xml:space="preserve"> (Röm 16,5; 1 Kor 16,19)</w:t>
      </w:r>
      <w:r w:rsidR="001B21AF" w:rsidRPr="00797BBB">
        <w:rPr>
          <w:rFonts w:asciiTheme="minorHAnsi" w:hAnsiTheme="minorHAnsi"/>
          <w:sz w:val="20"/>
        </w:rPr>
        <w:t>, die Ort</w:t>
      </w:r>
      <w:r w:rsidR="001B21AF" w:rsidRPr="00797BBB">
        <w:rPr>
          <w:rFonts w:asciiTheme="minorHAnsi" w:hAnsiTheme="minorHAnsi"/>
          <w:sz w:val="20"/>
        </w:rPr>
        <w:t>s</w:t>
      </w:r>
      <w:r w:rsidR="001B21AF" w:rsidRPr="00797BBB">
        <w:rPr>
          <w:rFonts w:asciiTheme="minorHAnsi" w:hAnsiTheme="minorHAnsi"/>
          <w:sz w:val="20"/>
        </w:rPr>
        <w:t>gemeinde</w:t>
      </w:r>
      <w:r w:rsidR="001B21AF">
        <w:rPr>
          <w:rFonts w:asciiTheme="minorHAnsi" w:hAnsiTheme="minorHAnsi"/>
          <w:sz w:val="20"/>
        </w:rPr>
        <w:t xml:space="preserve"> (1 Kor 1,2)</w:t>
      </w:r>
      <w:r w:rsidR="001B21AF" w:rsidRPr="00797BBB">
        <w:rPr>
          <w:rFonts w:asciiTheme="minorHAnsi" w:hAnsiTheme="minorHAnsi"/>
          <w:sz w:val="20"/>
        </w:rPr>
        <w:t>, die Gemeinden in einer Provinz als Ganzheit</w:t>
      </w:r>
      <w:r w:rsidR="001B21AF">
        <w:rPr>
          <w:rFonts w:asciiTheme="minorHAnsi" w:hAnsiTheme="minorHAnsi"/>
          <w:sz w:val="20"/>
        </w:rPr>
        <w:t xml:space="preserve"> (</w:t>
      </w:r>
      <w:proofErr w:type="spellStart"/>
      <w:r w:rsidR="001B21AF">
        <w:rPr>
          <w:rFonts w:asciiTheme="minorHAnsi" w:hAnsiTheme="minorHAnsi"/>
          <w:sz w:val="20"/>
        </w:rPr>
        <w:t>Apg</w:t>
      </w:r>
      <w:proofErr w:type="spellEnd"/>
      <w:r w:rsidR="001B21AF">
        <w:rPr>
          <w:rFonts w:asciiTheme="minorHAnsi" w:hAnsiTheme="minorHAnsi"/>
          <w:sz w:val="20"/>
        </w:rPr>
        <w:t xml:space="preserve"> 15,41)</w:t>
      </w:r>
      <w:r w:rsidR="001B21AF" w:rsidRPr="00797BBB">
        <w:rPr>
          <w:rFonts w:asciiTheme="minorHAnsi" w:hAnsiTheme="minorHAnsi"/>
          <w:sz w:val="20"/>
        </w:rPr>
        <w:t>, die weltweite Kirche und insb</w:t>
      </w:r>
      <w:r w:rsidR="001B21AF" w:rsidRPr="00797BBB">
        <w:rPr>
          <w:rFonts w:asciiTheme="minorHAnsi" w:hAnsiTheme="minorHAnsi"/>
          <w:sz w:val="20"/>
        </w:rPr>
        <w:t>e</w:t>
      </w:r>
      <w:r w:rsidR="001B21AF" w:rsidRPr="00797BBB">
        <w:rPr>
          <w:rFonts w:asciiTheme="minorHAnsi" w:hAnsiTheme="minorHAnsi"/>
          <w:sz w:val="20"/>
        </w:rPr>
        <w:t>sondere auch für den Leib Christi, also die den Augen verborgene Gesamtheit der Glaubenden in ihrer Gemei</w:t>
      </w:r>
      <w:r w:rsidR="001B21AF" w:rsidRPr="00797BBB">
        <w:rPr>
          <w:rFonts w:asciiTheme="minorHAnsi" w:hAnsiTheme="minorHAnsi"/>
          <w:sz w:val="20"/>
        </w:rPr>
        <w:t>n</w:t>
      </w:r>
      <w:r w:rsidR="001B21AF" w:rsidRPr="00797BBB">
        <w:rPr>
          <w:rFonts w:asciiTheme="minorHAnsi" w:hAnsiTheme="minorHAnsi"/>
          <w:sz w:val="20"/>
        </w:rPr>
        <w:t>schaft mit Christus und in ihrem „Zusammenhang“ untereinander</w:t>
      </w:r>
      <w:r w:rsidR="001B21AF">
        <w:rPr>
          <w:rFonts w:asciiTheme="minorHAnsi" w:hAnsiTheme="minorHAnsi"/>
          <w:sz w:val="20"/>
        </w:rPr>
        <w:t xml:space="preserve"> (1 Kor 4,17)</w:t>
      </w:r>
      <w:r w:rsidR="001B21AF" w:rsidRPr="00797BBB">
        <w:rPr>
          <w:rFonts w:asciiTheme="minorHAnsi" w:hAnsiTheme="minorHAnsi"/>
          <w:sz w:val="20"/>
        </w:rPr>
        <w:t>.</w:t>
      </w:r>
      <w:r w:rsidR="001B21AF">
        <w:rPr>
          <w:rFonts w:asciiTheme="minorHAnsi" w:hAnsiTheme="minorHAnsi"/>
          <w:sz w:val="20"/>
        </w:rPr>
        <w:t xml:space="preserve"> Alle Größenordnu</w:t>
      </w:r>
      <w:r w:rsidR="001B21AF">
        <w:rPr>
          <w:rFonts w:asciiTheme="minorHAnsi" w:hAnsiTheme="minorHAnsi"/>
          <w:sz w:val="20"/>
        </w:rPr>
        <w:t>n</w:t>
      </w:r>
      <w:r w:rsidR="001B21AF">
        <w:rPr>
          <w:rFonts w:asciiTheme="minorHAnsi" w:hAnsiTheme="minorHAnsi"/>
          <w:sz w:val="20"/>
        </w:rPr>
        <w:t xml:space="preserve">gen von Kirche können sich so mit demselben Namen der </w:t>
      </w:r>
      <w:proofErr w:type="spellStart"/>
      <w:r w:rsidR="001B21AF" w:rsidRPr="00797BBB">
        <w:rPr>
          <w:rFonts w:ascii="Bwgrkl" w:hAnsi="Bwgrkl"/>
          <w:sz w:val="20"/>
        </w:rPr>
        <w:t>evkklhsi,a</w:t>
      </w:r>
      <w:proofErr w:type="spellEnd"/>
      <w:r w:rsidR="001B21AF">
        <w:rPr>
          <w:rFonts w:ascii="Bwgrkl" w:hAnsi="Bwgrkl"/>
          <w:sz w:val="20"/>
        </w:rPr>
        <w:t xml:space="preserve"> </w:t>
      </w:r>
      <w:r w:rsidR="001B21AF">
        <w:rPr>
          <w:rFonts w:asciiTheme="minorHAnsi" w:hAnsiTheme="minorHAnsi"/>
          <w:sz w:val="20"/>
        </w:rPr>
        <w:t>schmücken. „Dabei gibt es keine Prioritäten oder Nachor</w:t>
      </w:r>
      <w:r w:rsidR="001B21AF">
        <w:rPr>
          <w:rFonts w:asciiTheme="minorHAnsi" w:hAnsiTheme="minorHAnsi"/>
          <w:sz w:val="20"/>
        </w:rPr>
        <w:t>d</w:t>
      </w:r>
      <w:r w:rsidR="001B21AF">
        <w:rPr>
          <w:rFonts w:asciiTheme="minorHAnsi" w:hAnsiTheme="minorHAnsi"/>
          <w:sz w:val="20"/>
        </w:rPr>
        <w:t>nungen.“</w:t>
      </w:r>
      <w:r w:rsidR="001B21AF">
        <w:rPr>
          <w:rStyle w:val="Funotenzeichen"/>
          <w:rFonts w:asciiTheme="minorHAnsi" w:hAnsiTheme="minorHAnsi"/>
          <w:sz w:val="20"/>
        </w:rPr>
        <w:footnoteReference w:id="2"/>
      </w:r>
    </w:p>
    <w:p w:rsidR="00985B0C" w:rsidRDefault="001B21AF" w:rsidP="001B21AF">
      <w:pPr>
        <w:pStyle w:val="berschrift4"/>
      </w:pPr>
      <w:r>
        <w:t>Zugehörigkeiten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6976"/>
        <w:gridCol w:w="2538"/>
      </w:tblGrid>
      <w:tr w:rsidR="00985B0C">
        <w:trPr>
          <w:cnfStyle w:val="100000000000"/>
        </w:trPr>
        <w:tc>
          <w:tcPr>
            <w:cnfStyle w:val="001000000000"/>
            <w:tcW w:w="4719" w:type="dxa"/>
            <w:tcBorders>
              <w:right w:val="none" w:sz="0" w:space="0" w:color="auto"/>
            </w:tcBorders>
            <w:shd w:val="clear" w:color="C0C0C0" w:fill="FFFFFF"/>
          </w:tcPr>
          <w:p w:rsidR="00985B0C" w:rsidRPr="00985B0C" w:rsidRDefault="00985B0C" w:rsidP="00985B0C">
            <w:r w:rsidRPr="00985B0C">
              <w:drawing>
                <wp:inline distT="0" distB="0" distL="0" distR="0">
                  <wp:extent cx="4258031" cy="3191861"/>
                  <wp:effectExtent l="25400" t="0" r="9169"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265158" cy="3197203"/>
                          </a:xfrm>
                          <a:prstGeom prst="rect">
                            <a:avLst/>
                          </a:prstGeom>
                          <a:noFill/>
                          <a:ln w="9525">
                            <a:noFill/>
                            <a:miter lim="800000"/>
                            <a:headEnd/>
                            <a:tailEnd/>
                          </a:ln>
                        </pic:spPr>
                      </pic:pic>
                    </a:graphicData>
                  </a:graphic>
                </wp:inline>
              </w:drawing>
            </w:r>
          </w:p>
        </w:tc>
        <w:tc>
          <w:tcPr>
            <w:tcW w:w="4719" w:type="dxa"/>
            <w:shd w:val="clear" w:color="C0C0C0" w:fill="FFFFFF"/>
          </w:tcPr>
          <w:p w:rsidR="00985B0C" w:rsidRPr="00D479FA" w:rsidRDefault="00985B0C" w:rsidP="00D479FA">
            <w:pPr>
              <w:cnfStyle w:val="100000000000"/>
              <w:rPr>
                <w:b w:val="0"/>
                <w:sz w:val="20"/>
              </w:rPr>
            </w:pPr>
            <w:r w:rsidRPr="00D479FA">
              <w:rPr>
                <w:b w:val="0"/>
                <w:sz w:val="20"/>
              </w:rPr>
              <w:t>Wer gehört zu einer G</w:t>
            </w:r>
            <w:r w:rsidRPr="00D479FA">
              <w:rPr>
                <w:b w:val="0"/>
                <w:sz w:val="20"/>
              </w:rPr>
              <w:t>e</w:t>
            </w:r>
            <w:r w:rsidRPr="00D479FA">
              <w:rPr>
                <w:b w:val="0"/>
                <w:sz w:val="20"/>
              </w:rPr>
              <w:t>meinde?</w:t>
            </w:r>
          </w:p>
          <w:p w:rsidR="00985B0C" w:rsidRPr="00D479FA" w:rsidRDefault="00985B0C" w:rsidP="00D479FA">
            <w:pPr>
              <w:ind w:left="35"/>
              <w:cnfStyle w:val="100000000000"/>
              <w:rPr>
                <w:b w:val="0"/>
                <w:sz w:val="20"/>
              </w:rPr>
            </w:pPr>
            <w:r w:rsidRPr="00D479FA">
              <w:rPr>
                <w:b w:val="0"/>
                <w:sz w:val="20"/>
              </w:rPr>
              <w:t xml:space="preserve">Denken wir hier </w:t>
            </w:r>
            <w:r w:rsidRPr="00D479FA">
              <w:rPr>
                <w:b w:val="0"/>
                <w:i/>
                <w:sz w:val="20"/>
              </w:rPr>
              <w:t>zu klein</w:t>
            </w:r>
            <w:r w:rsidRPr="00D479FA">
              <w:rPr>
                <w:b w:val="0"/>
                <w:sz w:val="20"/>
              </w:rPr>
              <w:t>, dann red</w:t>
            </w:r>
            <w:r w:rsidRPr="00D479FA">
              <w:rPr>
                <w:b w:val="0"/>
                <w:sz w:val="20"/>
              </w:rPr>
              <w:t>u</w:t>
            </w:r>
            <w:r w:rsidRPr="00D479FA">
              <w:rPr>
                <w:b w:val="0"/>
                <w:sz w:val="20"/>
              </w:rPr>
              <w:t>zieren wir Kirche auf eine kleine Schar der Bekenne</w:t>
            </w:r>
            <w:r w:rsidRPr="00D479FA">
              <w:rPr>
                <w:b w:val="0"/>
                <w:sz w:val="20"/>
              </w:rPr>
              <w:t>n</w:t>
            </w:r>
            <w:r w:rsidR="00D479FA">
              <w:rPr>
                <w:b w:val="0"/>
                <w:sz w:val="20"/>
              </w:rPr>
              <w:t xml:space="preserve">den: </w:t>
            </w:r>
            <w:r w:rsidRPr="00D479FA">
              <w:rPr>
                <w:b w:val="0"/>
                <w:sz w:val="20"/>
              </w:rPr>
              <w:t>Schauen wir nur auf die, die sich zeigen, und kü</w:t>
            </w:r>
            <w:r w:rsidRPr="00D479FA">
              <w:rPr>
                <w:b w:val="0"/>
                <w:sz w:val="20"/>
              </w:rPr>
              <w:t>m</w:t>
            </w:r>
            <w:r w:rsidRPr="00D479FA">
              <w:rPr>
                <w:b w:val="0"/>
                <w:sz w:val="20"/>
              </w:rPr>
              <w:t>mern uns nur um die, die uns gerne beschä</w:t>
            </w:r>
            <w:r w:rsidRPr="00D479FA">
              <w:rPr>
                <w:b w:val="0"/>
                <w:sz w:val="20"/>
              </w:rPr>
              <w:t>f</w:t>
            </w:r>
            <w:r w:rsidRPr="00D479FA">
              <w:rPr>
                <w:b w:val="0"/>
                <w:sz w:val="20"/>
              </w:rPr>
              <w:t>tigen?</w:t>
            </w:r>
          </w:p>
          <w:p w:rsidR="00985B0C" w:rsidRPr="00985B0C" w:rsidRDefault="00985B0C" w:rsidP="00D479FA">
            <w:pPr>
              <w:ind w:left="35"/>
              <w:cnfStyle w:val="100000000000"/>
            </w:pPr>
            <w:r w:rsidRPr="00D479FA">
              <w:rPr>
                <w:b w:val="0"/>
                <w:sz w:val="20"/>
              </w:rPr>
              <w:t xml:space="preserve">Denken wir hier </w:t>
            </w:r>
            <w:r w:rsidRPr="00D479FA">
              <w:rPr>
                <w:b w:val="0"/>
                <w:i/>
                <w:sz w:val="20"/>
              </w:rPr>
              <w:t>zu groß</w:t>
            </w:r>
            <w:r w:rsidRPr="00D479FA">
              <w:rPr>
                <w:b w:val="0"/>
                <w:sz w:val="20"/>
              </w:rPr>
              <w:t>, dann verei</w:t>
            </w:r>
            <w:r w:rsidRPr="00D479FA">
              <w:rPr>
                <w:b w:val="0"/>
                <w:sz w:val="20"/>
              </w:rPr>
              <w:t>n</w:t>
            </w:r>
            <w:r w:rsidRPr="00D479FA">
              <w:rPr>
                <w:b w:val="0"/>
                <w:sz w:val="20"/>
              </w:rPr>
              <w:t>nahmen wir jeden ei</w:t>
            </w:r>
            <w:r w:rsidRPr="00D479FA">
              <w:rPr>
                <w:b w:val="0"/>
                <w:sz w:val="20"/>
              </w:rPr>
              <w:t>n</w:t>
            </w:r>
            <w:r w:rsidRPr="00D479FA">
              <w:rPr>
                <w:b w:val="0"/>
                <w:sz w:val="20"/>
              </w:rPr>
              <w:t>fach für uns, egal was er selbst mit seinen Überzeugungen und fakt</w:t>
            </w:r>
            <w:r w:rsidRPr="00D479FA">
              <w:rPr>
                <w:b w:val="0"/>
                <w:sz w:val="20"/>
              </w:rPr>
              <w:t>i</w:t>
            </w:r>
            <w:r w:rsidRPr="00D479FA">
              <w:rPr>
                <w:b w:val="0"/>
                <w:sz w:val="20"/>
              </w:rPr>
              <w:t>schen Entscheidungen ä</w:t>
            </w:r>
            <w:r w:rsidRPr="00D479FA">
              <w:rPr>
                <w:b w:val="0"/>
                <w:sz w:val="20"/>
              </w:rPr>
              <w:t>u</w:t>
            </w:r>
            <w:r w:rsidRPr="00D479FA">
              <w:rPr>
                <w:b w:val="0"/>
                <w:sz w:val="20"/>
              </w:rPr>
              <w:t xml:space="preserve">ßert. </w:t>
            </w:r>
          </w:p>
        </w:tc>
      </w:tr>
    </w:tbl>
    <w:p w:rsidR="00A258F9" w:rsidRDefault="00A258F9" w:rsidP="001B21AF"/>
    <w:p w:rsidR="00A258F9" w:rsidRDefault="005828C2" w:rsidP="001B21AF">
      <w:r>
        <w:t>Sehr</w:t>
      </w:r>
      <w:r w:rsidR="001B21AF">
        <w:t xml:space="preserve"> wirkungsvoll waren die „Soziallehren der christlichen Kirchen und Gruppen“ von</w:t>
      </w:r>
      <w:r w:rsidR="001B21AF" w:rsidRPr="005828C2">
        <w:t xml:space="preserve"> </w:t>
      </w:r>
      <w:r w:rsidR="001B21AF" w:rsidRPr="005828C2">
        <w:rPr>
          <w:b/>
        </w:rPr>
        <w:t>Ernst Troeltsch</w:t>
      </w:r>
      <w:r w:rsidRPr="005828C2">
        <w:t>:</w:t>
      </w:r>
      <w:r w:rsidR="002917EA">
        <w:rPr>
          <w:rStyle w:val="Funotenzeichen"/>
        </w:rPr>
        <w:footnoteReference w:id="3"/>
      </w:r>
      <w:r w:rsidR="001B21AF">
        <w:t xml:space="preserve"> </w:t>
      </w:r>
    </w:p>
    <w:p w:rsidR="002917EA" w:rsidRDefault="001B21AF" w:rsidP="001B21AF">
      <w:pPr>
        <w:pStyle w:val="Listenabsatz"/>
        <w:numPr>
          <w:ilvl w:val="0"/>
          <w:numId w:val="20"/>
        </w:numPr>
        <w:spacing w:after="200"/>
      </w:pPr>
      <w:r w:rsidRPr="00A92844">
        <w:rPr>
          <w:u w:val="single"/>
        </w:rPr>
        <w:t>Sekten</w:t>
      </w:r>
      <w:r>
        <w:t xml:space="preserve"> sind alle geistlichen Personengemeinschaften, Menschen mit einer erkennbaren eng</w:t>
      </w:r>
      <w:r>
        <w:t>a</w:t>
      </w:r>
      <w:r>
        <w:t>gierten Aneignung des christlichen Glaubens, die sich zu intensiven Gemeinschaften zusa</w:t>
      </w:r>
      <w:r>
        <w:t>m</w:t>
      </w:r>
      <w:r>
        <w:t>mentun</w:t>
      </w:r>
      <w:r w:rsidR="002917EA">
        <w:t xml:space="preserve">. </w:t>
      </w:r>
    </w:p>
    <w:p w:rsidR="002917EA" w:rsidRDefault="001B21AF" w:rsidP="001B21AF">
      <w:pPr>
        <w:pStyle w:val="Listenabsatz"/>
        <w:numPr>
          <w:ilvl w:val="0"/>
          <w:numId w:val="20"/>
        </w:numPr>
        <w:spacing w:after="200"/>
      </w:pPr>
      <w:r w:rsidRPr="00A92844">
        <w:rPr>
          <w:u w:val="single"/>
        </w:rPr>
        <w:t>Mystiker</w:t>
      </w:r>
      <w:r>
        <w:t xml:space="preserve"> sind die, die eine sehr individuelle Form der Religion leben: „innerlich, persönlich, i</w:t>
      </w:r>
      <w:r>
        <w:t>n</w:t>
      </w:r>
      <w:r>
        <w:t>dividuell und abrupt“</w:t>
      </w:r>
      <w:r w:rsidR="002917EA">
        <w:t>.</w:t>
      </w:r>
      <w:r>
        <w:rPr>
          <w:rStyle w:val="Funotenzeichen"/>
        </w:rPr>
        <w:footnoteReference w:id="4"/>
      </w:r>
      <w:r>
        <w:t xml:space="preserve"> Hier ist Religion tendenziell geradezu anti-kirchlich</w:t>
      </w:r>
      <w:r w:rsidR="002917EA">
        <w:t xml:space="preserve"> und entzieht sich der </w:t>
      </w:r>
      <w:proofErr w:type="spellStart"/>
      <w:r w:rsidR="002917EA">
        <w:t>Vergemeinschaftung</w:t>
      </w:r>
      <w:proofErr w:type="spellEnd"/>
      <w:r>
        <w:t>.</w:t>
      </w:r>
    </w:p>
    <w:p w:rsidR="00A92844" w:rsidRDefault="001B21AF" w:rsidP="001B21AF">
      <w:pPr>
        <w:pStyle w:val="Listenabsatz"/>
        <w:numPr>
          <w:ilvl w:val="0"/>
          <w:numId w:val="20"/>
        </w:numPr>
        <w:spacing w:after="200"/>
      </w:pPr>
      <w:r w:rsidRPr="00A92844">
        <w:rPr>
          <w:u w:val="single"/>
        </w:rPr>
        <w:t>Kirche</w:t>
      </w:r>
      <w:r>
        <w:t xml:space="preserve"> meint die Anstalt des Heils, das objektive Vorgegebensein von Wahrheit und Heil. Das ist die „Volkskirche“, die dem einzelnen fraglos vorgegeben ist, in der er sich vorfindet, als Kind g</w:t>
      </w:r>
      <w:r>
        <w:t>e</w:t>
      </w:r>
      <w:r>
        <w:t>tauft, fraglos Mitglied, nicht sonderlich engagiert, aber an den wesentlichen Stationen des L</w:t>
      </w:r>
      <w:r>
        <w:t>e</w:t>
      </w:r>
      <w:r>
        <w:t>benslaufs doch von der Kirche begleitet.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4719"/>
        <w:gridCol w:w="4719"/>
      </w:tblGrid>
      <w:tr w:rsidR="00A92844">
        <w:trPr>
          <w:cnfStyle w:val="100000000000"/>
        </w:trPr>
        <w:tc>
          <w:tcPr>
            <w:cnfStyle w:val="001000000000"/>
            <w:tcW w:w="4719" w:type="dxa"/>
            <w:tcBorders>
              <w:right w:val="none" w:sz="0" w:space="0" w:color="auto"/>
            </w:tcBorders>
            <w:shd w:val="clear" w:color="C0C0C0" w:fill="FFFFFF"/>
          </w:tcPr>
          <w:p w:rsidR="00A92844" w:rsidRPr="00A92844" w:rsidRDefault="00A92844" w:rsidP="00A92844">
            <w:pPr>
              <w:rPr>
                <w:b w:val="0"/>
              </w:rPr>
            </w:pPr>
          </w:p>
          <w:p w:rsidR="00A92844" w:rsidRPr="009B0E4C" w:rsidRDefault="00A92844" w:rsidP="004636D4">
            <w:pPr>
              <w:rPr>
                <w:b w:val="0"/>
                <w:sz w:val="22"/>
              </w:rPr>
            </w:pPr>
            <w:r w:rsidRPr="009B0E4C">
              <w:rPr>
                <w:b w:val="0"/>
                <w:sz w:val="22"/>
              </w:rPr>
              <w:t xml:space="preserve">Wie wichtig sind uns </w:t>
            </w:r>
            <w:r w:rsidR="00815361">
              <w:rPr>
                <w:sz w:val="22"/>
              </w:rPr>
              <w:t>Grenzziehungen</w:t>
            </w:r>
            <w:r w:rsidR="00815361">
              <w:rPr>
                <w:b w:val="0"/>
                <w:sz w:val="22"/>
              </w:rPr>
              <w:t xml:space="preserve">, wenn wir über </w:t>
            </w:r>
            <w:r w:rsidRPr="009B0E4C">
              <w:rPr>
                <w:b w:val="0"/>
                <w:sz w:val="22"/>
              </w:rPr>
              <w:t>Zugehörigke</w:t>
            </w:r>
            <w:r w:rsidRPr="009B0E4C">
              <w:rPr>
                <w:b w:val="0"/>
                <w:sz w:val="22"/>
              </w:rPr>
              <w:t>i</w:t>
            </w:r>
            <w:r w:rsidRPr="009B0E4C">
              <w:rPr>
                <w:b w:val="0"/>
                <w:sz w:val="22"/>
              </w:rPr>
              <w:t xml:space="preserve">ten </w:t>
            </w:r>
            <w:r w:rsidR="00815361" w:rsidRPr="00815361">
              <w:rPr>
                <w:b w:val="0"/>
                <w:sz w:val="22"/>
              </w:rPr>
              <w:t>nachdenken</w:t>
            </w:r>
            <w:r w:rsidRPr="00815361">
              <w:rPr>
                <w:b w:val="0"/>
                <w:sz w:val="22"/>
              </w:rPr>
              <w:t>?</w:t>
            </w:r>
            <w:r w:rsidRPr="009B0E4C">
              <w:rPr>
                <w:b w:val="0"/>
                <w:sz w:val="22"/>
              </w:rPr>
              <w:t xml:space="preserve"> Orientieren wir uns eher an „</w:t>
            </w:r>
            <w:proofErr w:type="spellStart"/>
            <w:r w:rsidRPr="009B0E4C">
              <w:rPr>
                <w:b w:val="0"/>
                <w:sz w:val="22"/>
              </w:rPr>
              <w:t>bounded</w:t>
            </w:r>
            <w:proofErr w:type="spellEnd"/>
            <w:r w:rsidRPr="009B0E4C">
              <w:rPr>
                <w:b w:val="0"/>
                <w:sz w:val="22"/>
              </w:rPr>
              <w:t xml:space="preserve"> </w:t>
            </w:r>
            <w:proofErr w:type="spellStart"/>
            <w:r w:rsidRPr="009B0E4C">
              <w:rPr>
                <w:b w:val="0"/>
                <w:sz w:val="22"/>
              </w:rPr>
              <w:t>sets</w:t>
            </w:r>
            <w:proofErr w:type="spellEnd"/>
            <w:r w:rsidRPr="009B0E4C">
              <w:rPr>
                <w:b w:val="0"/>
                <w:sz w:val="22"/>
              </w:rPr>
              <w:t>“ oder an „</w:t>
            </w:r>
            <w:proofErr w:type="spellStart"/>
            <w:r w:rsidRPr="009B0E4C">
              <w:rPr>
                <w:b w:val="0"/>
                <w:sz w:val="22"/>
              </w:rPr>
              <w:t>cent</w:t>
            </w:r>
            <w:r w:rsidRPr="009B0E4C">
              <w:rPr>
                <w:b w:val="0"/>
                <w:sz w:val="22"/>
              </w:rPr>
              <w:t>e</w:t>
            </w:r>
            <w:r w:rsidRPr="009B0E4C">
              <w:rPr>
                <w:b w:val="0"/>
                <w:sz w:val="22"/>
              </w:rPr>
              <w:t>red</w:t>
            </w:r>
            <w:proofErr w:type="spellEnd"/>
            <w:r w:rsidRPr="009B0E4C">
              <w:rPr>
                <w:b w:val="0"/>
                <w:sz w:val="22"/>
              </w:rPr>
              <w:t xml:space="preserve"> </w:t>
            </w:r>
            <w:proofErr w:type="spellStart"/>
            <w:r w:rsidRPr="009B0E4C">
              <w:rPr>
                <w:b w:val="0"/>
                <w:sz w:val="22"/>
              </w:rPr>
              <w:t>sets</w:t>
            </w:r>
            <w:proofErr w:type="spellEnd"/>
            <w:r w:rsidRPr="009B0E4C">
              <w:rPr>
                <w:b w:val="0"/>
                <w:sz w:val="22"/>
              </w:rPr>
              <w:t>“?</w:t>
            </w:r>
            <w:r w:rsidRPr="009B0E4C">
              <w:rPr>
                <w:rStyle w:val="Funotenzeichen"/>
                <w:b w:val="0"/>
                <w:sz w:val="22"/>
              </w:rPr>
              <w:footnoteReference w:id="5"/>
            </w:r>
            <w:r w:rsidRPr="009B0E4C">
              <w:rPr>
                <w:b w:val="0"/>
                <w:sz w:val="22"/>
              </w:rPr>
              <w:t xml:space="preserve"> Definieren wir </w:t>
            </w:r>
            <w:r w:rsidR="004636D4">
              <w:rPr>
                <w:b w:val="0"/>
                <w:sz w:val="22"/>
              </w:rPr>
              <w:t xml:space="preserve">also </w:t>
            </w:r>
            <w:r w:rsidRPr="009B0E4C">
              <w:rPr>
                <w:b w:val="0"/>
                <w:sz w:val="22"/>
              </w:rPr>
              <w:t>eine Scha</w:t>
            </w:r>
            <w:r w:rsidRPr="009B0E4C">
              <w:rPr>
                <w:b w:val="0"/>
                <w:sz w:val="22"/>
              </w:rPr>
              <w:t>f</w:t>
            </w:r>
            <w:r w:rsidRPr="009B0E4C">
              <w:rPr>
                <w:b w:val="0"/>
                <w:sz w:val="22"/>
              </w:rPr>
              <w:t>weide durch einen Zaun oder durch ein Wasse</w:t>
            </w:r>
            <w:r w:rsidRPr="009B0E4C">
              <w:rPr>
                <w:b w:val="0"/>
                <w:sz w:val="22"/>
              </w:rPr>
              <w:t>r</w:t>
            </w:r>
            <w:r w:rsidRPr="009B0E4C">
              <w:rPr>
                <w:b w:val="0"/>
                <w:sz w:val="22"/>
              </w:rPr>
              <w:t>loch (</w:t>
            </w:r>
            <w:r w:rsidR="004636D4">
              <w:rPr>
                <w:b w:val="0"/>
                <w:sz w:val="22"/>
              </w:rPr>
              <w:t xml:space="preserve">nach </w:t>
            </w:r>
            <w:r w:rsidRPr="009B0E4C">
              <w:rPr>
                <w:b w:val="0"/>
                <w:sz w:val="22"/>
              </w:rPr>
              <w:t>Frost/Hirsch)?</w:t>
            </w:r>
            <w:r w:rsidRPr="009B0E4C">
              <w:rPr>
                <w:rStyle w:val="Funotenzeichen"/>
                <w:b w:val="0"/>
                <w:sz w:val="22"/>
              </w:rPr>
              <w:footnoteReference w:id="6"/>
            </w:r>
          </w:p>
        </w:tc>
        <w:tc>
          <w:tcPr>
            <w:tcW w:w="4719" w:type="dxa"/>
            <w:shd w:val="clear" w:color="C0C0C0" w:fill="FFFFFF"/>
          </w:tcPr>
          <w:p w:rsidR="00A92844" w:rsidRDefault="00A92844" w:rsidP="00A92844">
            <w:pPr>
              <w:spacing w:after="200"/>
              <w:cnfStyle w:val="100000000000"/>
            </w:pPr>
            <w:r w:rsidRPr="009321BE">
              <w:drawing>
                <wp:inline distT="0" distB="0" distL="0" distR="0">
                  <wp:extent cx="2716767" cy="2036515"/>
                  <wp:effectExtent l="25400" t="0" r="1033"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716767" cy="2036515"/>
                          </a:xfrm>
                          <a:prstGeom prst="rect">
                            <a:avLst/>
                          </a:prstGeom>
                          <a:noFill/>
                          <a:ln w="9525">
                            <a:noFill/>
                            <a:miter lim="800000"/>
                            <a:headEnd/>
                            <a:tailEnd/>
                          </a:ln>
                        </pic:spPr>
                      </pic:pic>
                    </a:graphicData>
                  </a:graphic>
                </wp:inline>
              </w:drawing>
            </w:r>
          </w:p>
        </w:tc>
      </w:tr>
    </w:tbl>
    <w:p w:rsidR="001B21AF" w:rsidRDefault="001B21AF" w:rsidP="001B21AF">
      <w:pPr>
        <w:pStyle w:val="berschrift4"/>
      </w:pPr>
      <w:r>
        <w:t>Kontexte</w:t>
      </w:r>
    </w:p>
    <w:p w:rsidR="00B31437" w:rsidRDefault="00B31437" w:rsidP="00B31437">
      <w:r>
        <w:t>Zum Beispiel: eine mittelfränkische</w:t>
      </w:r>
      <w:r w:rsidR="001B21AF">
        <w:t xml:space="preserve"> Dorfgemeinde</w:t>
      </w:r>
      <w:r>
        <w:t>; Ostberlin; Diaspora in Münster/Westfalen; Ha</w:t>
      </w:r>
      <w:r>
        <w:t>m</w:t>
      </w:r>
      <w:r>
        <w:t>burg; Duisburg; ...</w:t>
      </w:r>
    </w:p>
    <w:p w:rsidR="00B31437" w:rsidRDefault="00B31437" w:rsidP="001B21AF">
      <w:r>
        <w:t xml:space="preserve">Und was sind kontextunabhängige </w:t>
      </w:r>
      <w:r w:rsidR="001B21AF" w:rsidRPr="00B31437">
        <w:t>Merkmale</w:t>
      </w:r>
      <w:r w:rsidR="001B21AF">
        <w:t>, die eine Gemeinde von einer Nicht-Gemeinde unte</w:t>
      </w:r>
      <w:r w:rsidR="001B21AF">
        <w:t>r</w:t>
      </w:r>
      <w:r w:rsidR="001B21AF">
        <w:t xml:space="preserve">scheiden? </w:t>
      </w:r>
      <w:r>
        <w:t>Was ist also eine „christliche Gemeinde“?</w:t>
      </w:r>
    </w:p>
    <w:p w:rsidR="001B21AF" w:rsidRDefault="001B21AF" w:rsidP="001B21AF">
      <w:pPr>
        <w:pStyle w:val="berschrift4"/>
      </w:pPr>
      <w:r>
        <w:t>Merkmale und Wesenszüge („</w:t>
      </w:r>
      <w:proofErr w:type="spellStart"/>
      <w:r>
        <w:t>nota</w:t>
      </w:r>
      <w:proofErr w:type="spellEnd"/>
      <w:r>
        <w:t xml:space="preserve"> </w:t>
      </w:r>
      <w:proofErr w:type="spellStart"/>
      <w:r>
        <w:t>ecclesiae</w:t>
      </w:r>
      <w:proofErr w:type="spellEnd"/>
      <w:r>
        <w:t>“)</w:t>
      </w:r>
    </w:p>
    <w:p w:rsidR="008C4410" w:rsidRDefault="008C4410" w:rsidP="00D556E5">
      <w:pPr>
        <w:jc w:val="center"/>
      </w:pPr>
      <w:r w:rsidRPr="008C4410">
        <w:drawing>
          <wp:inline distT="0" distB="0" distL="0" distR="0">
            <wp:extent cx="2827385" cy="2119434"/>
            <wp:effectExtent l="25400" t="0" r="0" b="0"/>
            <wp:docPr id="2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835432" cy="2125466"/>
                    </a:xfrm>
                    <a:prstGeom prst="rect">
                      <a:avLst/>
                    </a:prstGeom>
                    <a:noFill/>
                    <a:ln w="9525">
                      <a:noFill/>
                      <a:miter lim="800000"/>
                      <a:headEnd/>
                      <a:tailEnd/>
                    </a:ln>
                  </pic:spPr>
                </pic:pic>
              </a:graphicData>
            </a:graphic>
          </wp:inline>
        </w:drawing>
      </w:r>
    </w:p>
    <w:p w:rsidR="008C4410" w:rsidRPr="008C4410" w:rsidRDefault="001B21AF" w:rsidP="001B21AF">
      <w:pPr>
        <w:rPr>
          <w:rFonts w:asciiTheme="minorHAnsi" w:hAnsiTheme="minorHAnsi"/>
          <w:szCs w:val="20"/>
        </w:rPr>
      </w:pPr>
      <w:proofErr w:type="spellStart"/>
      <w:r w:rsidRPr="00D556E5">
        <w:rPr>
          <w:rFonts w:asciiTheme="minorHAnsi" w:hAnsiTheme="minorHAnsi"/>
          <w:b/>
          <w:szCs w:val="20"/>
        </w:rPr>
        <w:t>Confessio</w:t>
      </w:r>
      <w:proofErr w:type="spellEnd"/>
      <w:r w:rsidRPr="00D556E5">
        <w:rPr>
          <w:rFonts w:asciiTheme="minorHAnsi" w:hAnsiTheme="minorHAnsi"/>
          <w:b/>
          <w:szCs w:val="20"/>
        </w:rPr>
        <w:t xml:space="preserve"> </w:t>
      </w:r>
      <w:proofErr w:type="spellStart"/>
      <w:r w:rsidRPr="00D556E5">
        <w:rPr>
          <w:rFonts w:asciiTheme="minorHAnsi" w:hAnsiTheme="minorHAnsi"/>
          <w:b/>
          <w:szCs w:val="20"/>
        </w:rPr>
        <w:t>Augustana</w:t>
      </w:r>
      <w:proofErr w:type="spellEnd"/>
      <w:r w:rsidRPr="00D556E5">
        <w:rPr>
          <w:rFonts w:asciiTheme="minorHAnsi" w:hAnsiTheme="minorHAnsi"/>
          <w:b/>
          <w:szCs w:val="20"/>
        </w:rPr>
        <w:t xml:space="preserve"> </w:t>
      </w:r>
      <w:r w:rsidR="008C4410" w:rsidRPr="008C4410">
        <w:rPr>
          <w:rFonts w:asciiTheme="minorHAnsi" w:hAnsiTheme="minorHAnsi"/>
          <w:szCs w:val="20"/>
        </w:rPr>
        <w:t>(</w:t>
      </w:r>
      <w:r w:rsidRPr="008C4410">
        <w:rPr>
          <w:rFonts w:asciiTheme="minorHAnsi" w:hAnsiTheme="minorHAnsi"/>
          <w:szCs w:val="20"/>
        </w:rPr>
        <w:t>1530</w:t>
      </w:r>
      <w:r w:rsidR="008C4410" w:rsidRPr="008C4410">
        <w:rPr>
          <w:rFonts w:asciiTheme="minorHAnsi" w:hAnsiTheme="minorHAnsi"/>
          <w:szCs w:val="20"/>
        </w:rPr>
        <w:t xml:space="preserve">), Artikel VII: </w:t>
      </w:r>
    </w:p>
    <w:p w:rsidR="001B21AF" w:rsidRPr="008C4410" w:rsidRDefault="001B21AF" w:rsidP="008C4410">
      <w:pPr>
        <w:ind w:left="284"/>
        <w:rPr>
          <w:rFonts w:asciiTheme="minorHAnsi" w:hAnsiTheme="minorHAnsi" w:cs="Arial"/>
          <w:i/>
          <w:szCs w:val="20"/>
          <w:lang w:eastAsia="de-DE"/>
        </w:rPr>
      </w:pPr>
      <w:r w:rsidRPr="008C4410">
        <w:rPr>
          <w:rFonts w:asciiTheme="minorHAnsi" w:hAnsiTheme="minorHAnsi"/>
          <w:i/>
          <w:szCs w:val="20"/>
        </w:rPr>
        <w:t>„</w:t>
      </w:r>
      <w:r w:rsidRPr="008C4410">
        <w:rPr>
          <w:rFonts w:asciiTheme="minorHAnsi" w:hAnsiTheme="minorHAnsi" w:cs="Arial"/>
          <w:i/>
          <w:szCs w:val="20"/>
          <w:lang w:eastAsia="de-DE"/>
        </w:rPr>
        <w:t xml:space="preserve">Es wird auch gelehrt, dass allezeit eine heilige, christliche Kirche sein und bleiben muss, die </w:t>
      </w:r>
      <w:proofErr w:type="spellStart"/>
      <w:r w:rsidRPr="008C4410">
        <w:rPr>
          <w:rFonts w:asciiTheme="minorHAnsi" w:hAnsiTheme="minorHAnsi" w:cs="Arial"/>
          <w:i/>
          <w:szCs w:val="20"/>
          <w:lang w:eastAsia="de-DE"/>
        </w:rPr>
        <w:t>die</w:t>
      </w:r>
      <w:proofErr w:type="spellEnd"/>
      <w:r w:rsidRPr="008C4410">
        <w:rPr>
          <w:rFonts w:asciiTheme="minorHAnsi" w:hAnsiTheme="minorHAnsi" w:cs="Arial"/>
          <w:i/>
          <w:szCs w:val="20"/>
          <w:lang w:eastAsia="de-DE"/>
        </w:rPr>
        <w:t xml:space="preserve"> Ve</w:t>
      </w:r>
      <w:r w:rsidRPr="008C4410">
        <w:rPr>
          <w:rFonts w:asciiTheme="minorHAnsi" w:hAnsiTheme="minorHAnsi" w:cs="Arial"/>
          <w:i/>
          <w:szCs w:val="20"/>
          <w:lang w:eastAsia="de-DE"/>
        </w:rPr>
        <w:t>r</w:t>
      </w:r>
      <w:r w:rsidRPr="008C4410">
        <w:rPr>
          <w:rFonts w:asciiTheme="minorHAnsi" w:hAnsiTheme="minorHAnsi" w:cs="Arial"/>
          <w:i/>
          <w:szCs w:val="20"/>
          <w:lang w:eastAsia="de-DE"/>
        </w:rPr>
        <w:t>sammlung aller Gläubigen ist, bei denen das Evangel</w:t>
      </w:r>
      <w:r w:rsidRPr="008C4410">
        <w:rPr>
          <w:rFonts w:asciiTheme="minorHAnsi" w:hAnsiTheme="minorHAnsi" w:cs="Arial"/>
          <w:i/>
          <w:szCs w:val="20"/>
          <w:lang w:eastAsia="de-DE"/>
        </w:rPr>
        <w:t>i</w:t>
      </w:r>
      <w:r w:rsidRPr="008C4410">
        <w:rPr>
          <w:rFonts w:asciiTheme="minorHAnsi" w:hAnsiTheme="minorHAnsi" w:cs="Arial"/>
          <w:i/>
          <w:szCs w:val="20"/>
          <w:lang w:eastAsia="de-DE"/>
        </w:rPr>
        <w:t>um rein gepredigt und die heiligen Sakramente laut dem Evangelium gereicht werden. Denn das genügt zur wa</w:t>
      </w:r>
      <w:r w:rsidRPr="008C4410">
        <w:rPr>
          <w:rFonts w:asciiTheme="minorHAnsi" w:hAnsiTheme="minorHAnsi" w:cs="Arial"/>
          <w:i/>
          <w:szCs w:val="20"/>
          <w:lang w:eastAsia="de-DE"/>
        </w:rPr>
        <w:t>h</w:t>
      </w:r>
      <w:r w:rsidRPr="008C4410">
        <w:rPr>
          <w:rFonts w:asciiTheme="minorHAnsi" w:hAnsiTheme="minorHAnsi" w:cs="Arial"/>
          <w:i/>
          <w:szCs w:val="20"/>
          <w:lang w:eastAsia="de-DE"/>
        </w:rPr>
        <w:t>ren Einheit der christlichen Kirche, dass das Evangelium einträchtig im reinen Verständnis gepredigt und die S</w:t>
      </w:r>
      <w:r w:rsidRPr="008C4410">
        <w:rPr>
          <w:rFonts w:asciiTheme="minorHAnsi" w:hAnsiTheme="minorHAnsi" w:cs="Arial"/>
          <w:i/>
          <w:szCs w:val="20"/>
          <w:lang w:eastAsia="de-DE"/>
        </w:rPr>
        <w:t>a</w:t>
      </w:r>
      <w:r w:rsidRPr="008C4410">
        <w:rPr>
          <w:rFonts w:asciiTheme="minorHAnsi" w:hAnsiTheme="minorHAnsi" w:cs="Arial"/>
          <w:i/>
          <w:szCs w:val="20"/>
          <w:lang w:eastAsia="de-DE"/>
        </w:rPr>
        <w:t>kramente dem göttlichen Wort gemäß gereicht werden. Und es ist nicht zur wahren Einheit der christlichen Kirche nötig, dass überall die gleichen, von den Menschen eingesetzten Zer</w:t>
      </w:r>
      <w:r w:rsidRPr="008C4410">
        <w:rPr>
          <w:rFonts w:asciiTheme="minorHAnsi" w:hAnsiTheme="minorHAnsi" w:cs="Arial"/>
          <w:i/>
          <w:szCs w:val="20"/>
          <w:lang w:eastAsia="de-DE"/>
        </w:rPr>
        <w:t>e</w:t>
      </w:r>
      <w:r w:rsidRPr="008C4410">
        <w:rPr>
          <w:rFonts w:asciiTheme="minorHAnsi" w:hAnsiTheme="minorHAnsi" w:cs="Arial"/>
          <w:i/>
          <w:szCs w:val="20"/>
          <w:lang w:eastAsia="de-DE"/>
        </w:rPr>
        <w:t>monien eingehalten werden, wie Paulus sagt: ‚Ein Leib und ein Geist, wie ihr berufen seid zu einer Hof</w:t>
      </w:r>
      <w:r w:rsidRPr="008C4410">
        <w:rPr>
          <w:rFonts w:asciiTheme="minorHAnsi" w:hAnsiTheme="minorHAnsi" w:cs="Arial"/>
          <w:i/>
          <w:szCs w:val="20"/>
          <w:lang w:eastAsia="de-DE"/>
        </w:rPr>
        <w:t>f</w:t>
      </w:r>
      <w:r w:rsidRPr="008C4410">
        <w:rPr>
          <w:rFonts w:asciiTheme="minorHAnsi" w:hAnsiTheme="minorHAnsi" w:cs="Arial"/>
          <w:i/>
          <w:szCs w:val="20"/>
          <w:lang w:eastAsia="de-DE"/>
        </w:rPr>
        <w:t>nung eurer Berufung; ein Herr, ein Glaube, eine Taufe’ (</w:t>
      </w:r>
      <w:proofErr w:type="spellStart"/>
      <w:r w:rsidRPr="008C4410">
        <w:rPr>
          <w:rFonts w:asciiTheme="minorHAnsi" w:hAnsiTheme="minorHAnsi" w:cs="Arial"/>
          <w:i/>
          <w:szCs w:val="20"/>
          <w:lang w:eastAsia="de-DE"/>
        </w:rPr>
        <w:t>Eph</w:t>
      </w:r>
      <w:proofErr w:type="spellEnd"/>
      <w:r w:rsidRPr="008C4410">
        <w:rPr>
          <w:rFonts w:asciiTheme="minorHAnsi" w:hAnsiTheme="minorHAnsi" w:cs="Arial"/>
          <w:i/>
          <w:szCs w:val="20"/>
          <w:lang w:eastAsia="de-DE"/>
        </w:rPr>
        <w:t xml:space="preserve"> 4,4.5).“</w:t>
      </w:r>
      <w:r w:rsidRPr="008C4410">
        <w:rPr>
          <w:rStyle w:val="Funotenzeichen"/>
          <w:rFonts w:asciiTheme="minorHAnsi" w:hAnsiTheme="minorHAnsi" w:cs="Arial"/>
          <w:i/>
          <w:szCs w:val="20"/>
          <w:lang w:eastAsia="de-DE"/>
        </w:rPr>
        <w:footnoteReference w:id="7"/>
      </w:r>
      <w:r w:rsidRPr="008C4410">
        <w:rPr>
          <w:rFonts w:asciiTheme="minorHAnsi" w:hAnsiTheme="minorHAnsi" w:cs="Arial"/>
          <w:i/>
          <w:szCs w:val="20"/>
          <w:lang w:eastAsia="de-DE"/>
        </w:rPr>
        <w:t xml:space="preserve"> </w:t>
      </w:r>
    </w:p>
    <w:p w:rsidR="00D556E5" w:rsidRDefault="001B21AF" w:rsidP="001B21AF">
      <w:pPr>
        <w:rPr>
          <w:lang w:eastAsia="de-DE"/>
        </w:rPr>
      </w:pPr>
      <w:r>
        <w:rPr>
          <w:lang w:eastAsia="de-DE"/>
        </w:rPr>
        <w:t xml:space="preserve">Allerdings sagt CA VII der eigenen Intention nach mehr darüber, was zur </w:t>
      </w:r>
      <w:r w:rsidRPr="00D556E5">
        <w:rPr>
          <w:u w:val="single"/>
          <w:lang w:eastAsia="de-DE"/>
        </w:rPr>
        <w:t>Einheit</w:t>
      </w:r>
      <w:r>
        <w:rPr>
          <w:lang w:eastAsia="de-DE"/>
        </w:rPr>
        <w:t xml:space="preserve"> der Kirche gehört</w:t>
      </w:r>
      <w:r w:rsidR="008C4410">
        <w:rPr>
          <w:lang w:eastAsia="de-DE"/>
        </w:rPr>
        <w:t>,</w:t>
      </w:r>
      <w:r>
        <w:rPr>
          <w:lang w:eastAsia="de-DE"/>
        </w:rPr>
        <w:t xml:space="preserve"> als was ihr Wesen bestimmt. Ganz wesentlich ist die Aussage darüber, was </w:t>
      </w:r>
      <w:r w:rsidRPr="00D556E5">
        <w:rPr>
          <w:u w:val="single"/>
          <w:lang w:eastAsia="de-DE"/>
        </w:rPr>
        <w:t>nicht</w:t>
      </w:r>
      <w:r>
        <w:rPr>
          <w:lang w:eastAsia="de-DE"/>
        </w:rPr>
        <w:t xml:space="preserve"> zur Einheit der Kirche nötig ist: nämlich </w:t>
      </w:r>
      <w:r w:rsidR="008C4410">
        <w:rPr>
          <w:lang w:eastAsia="de-DE"/>
        </w:rPr>
        <w:t>die „Zeremonien“ (</w:t>
      </w:r>
      <w:r>
        <w:rPr>
          <w:lang w:eastAsia="de-DE"/>
        </w:rPr>
        <w:t>alle Gottesdienstordnungen, alle Sitten und Gebräuche, alle kirc</w:t>
      </w:r>
      <w:r>
        <w:rPr>
          <w:lang w:eastAsia="de-DE"/>
        </w:rPr>
        <w:t>h</w:t>
      </w:r>
      <w:r>
        <w:rPr>
          <w:lang w:eastAsia="de-DE"/>
        </w:rPr>
        <w:t>lichen Strukturen, alle Stellenpläne und Organis</w:t>
      </w:r>
      <w:r>
        <w:rPr>
          <w:lang w:eastAsia="de-DE"/>
        </w:rPr>
        <w:t>a</w:t>
      </w:r>
      <w:r>
        <w:rPr>
          <w:lang w:eastAsia="de-DE"/>
        </w:rPr>
        <w:t>tionsformen, alle so sehr geliebten Traditionen</w:t>
      </w:r>
      <w:r w:rsidR="00D556E5">
        <w:rPr>
          <w:lang w:eastAsia="de-DE"/>
        </w:rPr>
        <w:t>).</w:t>
      </w:r>
    </w:p>
    <w:p w:rsidR="00D556E5" w:rsidRDefault="00D556E5" w:rsidP="001B21AF">
      <w:pPr>
        <w:rPr>
          <w:lang w:eastAsia="de-DE"/>
        </w:rPr>
      </w:pPr>
      <w:r w:rsidRPr="00D556E5">
        <w:rPr>
          <w:lang w:eastAsia="de-DE"/>
        </w:rPr>
        <w:t xml:space="preserve">Hier geht es um </w:t>
      </w:r>
      <w:r w:rsidR="001B21AF" w:rsidRPr="00D556E5">
        <w:rPr>
          <w:lang w:eastAsia="de-DE"/>
        </w:rPr>
        <w:t xml:space="preserve">die </w:t>
      </w:r>
      <w:r w:rsidR="001B21AF" w:rsidRPr="00D556E5">
        <w:rPr>
          <w:u w:val="single"/>
          <w:lang w:eastAsia="de-DE"/>
        </w:rPr>
        <w:t>„Eröffnung einer außerordentlichen Freiheit zur kirchlichen Selbstgesta</w:t>
      </w:r>
      <w:r w:rsidR="001B21AF" w:rsidRPr="00D556E5">
        <w:rPr>
          <w:u w:val="single"/>
          <w:lang w:eastAsia="de-DE"/>
        </w:rPr>
        <w:t>l</w:t>
      </w:r>
      <w:r w:rsidR="001B21AF" w:rsidRPr="00D556E5">
        <w:rPr>
          <w:u w:val="single"/>
          <w:lang w:eastAsia="de-DE"/>
        </w:rPr>
        <w:t>tung“</w:t>
      </w:r>
      <w:r w:rsidR="001B21AF" w:rsidRPr="00D556E5">
        <w:rPr>
          <w:lang w:eastAsia="de-DE"/>
        </w:rPr>
        <w:t>.</w:t>
      </w:r>
      <w:r w:rsidR="001B21AF" w:rsidRPr="00D556E5">
        <w:rPr>
          <w:rStyle w:val="Funotenzeichen"/>
          <w:rFonts w:asciiTheme="minorHAnsi" w:hAnsiTheme="minorHAnsi" w:cs="Arial"/>
          <w:sz w:val="20"/>
          <w:szCs w:val="20"/>
          <w:lang w:eastAsia="de-DE"/>
        </w:rPr>
        <w:footnoteReference w:id="8"/>
      </w:r>
      <w:r w:rsidR="001B21AF" w:rsidRPr="00D556E5">
        <w:rPr>
          <w:lang w:eastAsia="de-DE"/>
        </w:rPr>
        <w:t xml:space="preserve"> Nur die „inhaltliche Klarheit und kommunikative Zugänglichkeit“</w:t>
      </w:r>
      <w:r w:rsidR="001B21AF" w:rsidRPr="00D556E5">
        <w:rPr>
          <w:rStyle w:val="Funotenzeichen"/>
          <w:rFonts w:asciiTheme="minorHAnsi" w:hAnsiTheme="minorHAnsi" w:cs="Arial"/>
          <w:sz w:val="20"/>
          <w:szCs w:val="20"/>
          <w:lang w:eastAsia="de-DE"/>
        </w:rPr>
        <w:footnoteReference w:id="9"/>
      </w:r>
      <w:r w:rsidR="001B21AF" w:rsidRPr="00D556E5">
        <w:rPr>
          <w:lang w:eastAsia="de-DE"/>
        </w:rPr>
        <w:t xml:space="preserve"> von Wort und Sakrament sind wirklich wesentlich.</w:t>
      </w:r>
    </w:p>
    <w:p w:rsidR="001B21AF" w:rsidRDefault="001B21AF" w:rsidP="001B21AF">
      <w:pPr>
        <w:pStyle w:val="berschrift4"/>
      </w:pPr>
      <w:r>
        <w:t>Organisationsformen von Kirche und Gemeinde</w:t>
      </w:r>
    </w:p>
    <w:p w:rsidR="001C4779" w:rsidRDefault="001B21AF" w:rsidP="001B21AF">
      <w:pPr>
        <w:pStyle w:val="Listenabsatz"/>
        <w:numPr>
          <w:ilvl w:val="0"/>
          <w:numId w:val="19"/>
        </w:numPr>
        <w:spacing w:after="200"/>
      </w:pPr>
      <w:bookmarkStart w:id="15" w:name="OLE_LINK9"/>
      <w:bookmarkStart w:id="16" w:name="OLE_LINK10"/>
      <w:r w:rsidRPr="001C4779">
        <w:rPr>
          <w:b/>
        </w:rPr>
        <w:t>Parochie</w:t>
      </w:r>
      <w:r>
        <w:t xml:space="preserve"> (ab 4. Jh.)</w:t>
      </w:r>
      <w:r w:rsidR="004865E7">
        <w:t>: „</w:t>
      </w:r>
      <w:r w:rsidR="004865E7">
        <w:rPr>
          <w:lang w:eastAsia="de-DE"/>
        </w:rPr>
        <w:t>Die Kirchengemeinde ist die Gemeinschaft von Gemeindegliedern in e</w:t>
      </w:r>
      <w:r w:rsidR="004865E7">
        <w:rPr>
          <w:lang w:eastAsia="de-DE"/>
        </w:rPr>
        <w:t>i</w:t>
      </w:r>
      <w:r w:rsidR="004865E7">
        <w:rPr>
          <w:lang w:eastAsia="de-DE"/>
        </w:rPr>
        <w:t>nem räu</w:t>
      </w:r>
      <w:r w:rsidR="004865E7">
        <w:rPr>
          <w:lang w:eastAsia="de-DE"/>
        </w:rPr>
        <w:t>m</w:t>
      </w:r>
      <w:r w:rsidR="004865E7">
        <w:rPr>
          <w:lang w:eastAsia="de-DE"/>
        </w:rPr>
        <w:t>lich bestimmten Bereich (Ortskirchengemeinde).“ (Verf. Nordkirche, Art. 21)</w:t>
      </w:r>
      <w:r w:rsidR="004865E7">
        <w:rPr>
          <w:rStyle w:val="Funotenzeichen"/>
          <w:lang w:eastAsia="de-DE"/>
        </w:rPr>
        <w:footnoteReference w:id="10"/>
      </w:r>
    </w:p>
    <w:p w:rsidR="001C4779" w:rsidRPr="001C4779" w:rsidRDefault="001C4779" w:rsidP="001C4779">
      <w:pPr>
        <w:pStyle w:val="Listenabsatz"/>
        <w:numPr>
          <w:ilvl w:val="0"/>
          <w:numId w:val="0"/>
        </w:numPr>
        <w:spacing w:after="200"/>
        <w:ind w:left="720"/>
        <w:rPr>
          <w:sz w:val="20"/>
        </w:rPr>
      </w:pPr>
      <w:r w:rsidRPr="001C4779">
        <w:rPr>
          <w:sz w:val="20"/>
          <w:lang w:eastAsia="de-DE"/>
        </w:rPr>
        <w:t xml:space="preserve">Die </w:t>
      </w:r>
      <w:proofErr w:type="spellStart"/>
      <w:r w:rsidRPr="001C4779">
        <w:rPr>
          <w:rFonts w:ascii="Bwgrkl" w:hAnsi="Bwgrkl"/>
          <w:sz w:val="20"/>
          <w:lang w:eastAsia="de-DE"/>
        </w:rPr>
        <w:t>Paroiki,a</w:t>
      </w:r>
      <w:proofErr w:type="spellEnd"/>
      <w:r w:rsidRPr="001C4779">
        <w:rPr>
          <w:rFonts w:ascii="Bwgrkl" w:hAnsi="Bwgrkl"/>
          <w:sz w:val="20"/>
          <w:lang w:eastAsia="de-DE"/>
        </w:rPr>
        <w:t xml:space="preserve"> </w:t>
      </w:r>
      <w:r w:rsidRPr="001C4779">
        <w:rPr>
          <w:sz w:val="20"/>
        </w:rPr>
        <w:t>war als Selbstbezeichnung der e</w:t>
      </w:r>
      <w:r w:rsidRPr="001C4779">
        <w:rPr>
          <w:sz w:val="20"/>
        </w:rPr>
        <w:t>r</w:t>
      </w:r>
      <w:r w:rsidRPr="001C4779">
        <w:rPr>
          <w:sz w:val="20"/>
        </w:rPr>
        <w:t>sten Christen (1 Petr 1,17) auf ihr Dasein in der Fremde in heidnischer Umgebung b</w:t>
      </w:r>
      <w:r w:rsidRPr="001C4779">
        <w:rPr>
          <w:sz w:val="20"/>
        </w:rPr>
        <w:t>e</w:t>
      </w:r>
      <w:r w:rsidRPr="001C4779">
        <w:rPr>
          <w:sz w:val="20"/>
        </w:rPr>
        <w:t>zogen</w:t>
      </w:r>
      <w:r w:rsidR="00610737">
        <w:rPr>
          <w:sz w:val="20"/>
        </w:rPr>
        <w:t xml:space="preserve">; sie wurde aber </w:t>
      </w:r>
      <w:r w:rsidRPr="001C4779">
        <w:rPr>
          <w:sz w:val="20"/>
        </w:rPr>
        <w:t>immer deutlicher der Begriff für die im Bischofsbezirk immer selbstständiger werdende örtliche Kircheng</w:t>
      </w:r>
      <w:r w:rsidRPr="001C4779">
        <w:rPr>
          <w:sz w:val="20"/>
        </w:rPr>
        <w:t>e</w:t>
      </w:r>
      <w:r w:rsidRPr="001C4779">
        <w:rPr>
          <w:sz w:val="20"/>
        </w:rPr>
        <w:t xml:space="preserve">meinde. Etwa </w:t>
      </w:r>
      <w:r w:rsidR="00610737">
        <w:rPr>
          <w:sz w:val="20"/>
        </w:rPr>
        <w:t xml:space="preserve">im </w:t>
      </w:r>
      <w:r w:rsidRPr="001C4779">
        <w:rPr>
          <w:sz w:val="20"/>
        </w:rPr>
        <w:t xml:space="preserve">9. Jh. gab es im germanischen Raum im Gefolge der Eigenkirchen eine klare Zuordnung jedes Getauften zu seiner Gemeinde </w:t>
      </w:r>
      <w:r w:rsidR="00610737">
        <w:rPr>
          <w:sz w:val="20"/>
        </w:rPr>
        <w:t>(</w:t>
      </w:r>
      <w:r w:rsidR="009C370B">
        <w:rPr>
          <w:sz w:val="20"/>
        </w:rPr>
        <w:t xml:space="preserve">mit </w:t>
      </w:r>
      <w:r w:rsidRPr="001C4779">
        <w:rPr>
          <w:sz w:val="20"/>
        </w:rPr>
        <w:t>Pfar</w:t>
      </w:r>
      <w:r w:rsidRPr="001C4779">
        <w:rPr>
          <w:sz w:val="20"/>
        </w:rPr>
        <w:t>r</w:t>
      </w:r>
      <w:r w:rsidRPr="001C4779">
        <w:rPr>
          <w:sz w:val="20"/>
        </w:rPr>
        <w:t>zwang</w:t>
      </w:r>
      <w:r w:rsidR="00610737">
        <w:rPr>
          <w:sz w:val="20"/>
        </w:rPr>
        <w:t>)</w:t>
      </w:r>
      <w:r w:rsidRPr="001C4779">
        <w:rPr>
          <w:sz w:val="20"/>
        </w:rPr>
        <w:t xml:space="preserve">. </w:t>
      </w:r>
    </w:p>
    <w:p w:rsidR="001C4779" w:rsidRDefault="001C4779" w:rsidP="001C4779">
      <w:pPr>
        <w:pStyle w:val="Listenabsatz"/>
        <w:numPr>
          <w:ilvl w:val="0"/>
          <w:numId w:val="0"/>
        </w:numPr>
        <w:spacing w:after="200"/>
        <w:ind w:left="720"/>
      </w:pPr>
      <w:r>
        <w:t>Im Prinzip ist immer noch jeder Getaufte in seinem Wohnbezirk einer Gemeinde und ihrem Pfarrer zugeordnet. Einiges hat sich aber g</w:t>
      </w:r>
      <w:r>
        <w:t>e</w:t>
      </w:r>
      <w:r>
        <w:t>ändert:</w:t>
      </w:r>
    </w:p>
    <w:p w:rsidR="001C4779" w:rsidRPr="001C4779" w:rsidRDefault="001C4779" w:rsidP="001C4779">
      <w:pPr>
        <w:pStyle w:val="Listenabsatz"/>
        <w:numPr>
          <w:ilvl w:val="1"/>
          <w:numId w:val="23"/>
        </w:numPr>
        <w:spacing w:after="200"/>
      </w:pPr>
      <w:r w:rsidRPr="001C4779">
        <w:t>Rechte zur Mitwirkung und Beteiligung der G</w:t>
      </w:r>
      <w:r w:rsidRPr="001C4779">
        <w:t>e</w:t>
      </w:r>
      <w:r w:rsidRPr="001C4779">
        <w:t>meindeglieder waren ursprünglich nicht vorgesehen, sind aber heute selbstverstän</w:t>
      </w:r>
      <w:r w:rsidRPr="001C4779">
        <w:t>d</w:t>
      </w:r>
      <w:r w:rsidRPr="001C4779">
        <w:t xml:space="preserve">lich. </w:t>
      </w:r>
    </w:p>
    <w:p w:rsidR="001C4779" w:rsidRPr="001C4779" w:rsidRDefault="001C4779" w:rsidP="001C4779">
      <w:pPr>
        <w:pStyle w:val="Listenabsatz"/>
        <w:numPr>
          <w:ilvl w:val="1"/>
          <w:numId w:val="23"/>
        </w:numPr>
        <w:spacing w:after="200"/>
      </w:pPr>
      <w:r w:rsidRPr="001C4779">
        <w:t>Menschen suchen sich ihre Gemeinde unabhängig vom Wohnsitz; besonders im städt</w:t>
      </w:r>
      <w:r w:rsidRPr="001C4779">
        <w:t>i</w:t>
      </w:r>
      <w:r w:rsidRPr="001C4779">
        <w:t xml:space="preserve">schen Raum ist das parochiale Prinzip sehr stark relativiert. </w:t>
      </w:r>
    </w:p>
    <w:p w:rsidR="001C4779" w:rsidRPr="001C4779" w:rsidRDefault="001C4779" w:rsidP="001C4779">
      <w:pPr>
        <w:pStyle w:val="Listenabsatz"/>
        <w:numPr>
          <w:ilvl w:val="1"/>
          <w:numId w:val="23"/>
        </w:numPr>
        <w:spacing w:after="200"/>
      </w:pPr>
      <w:r w:rsidRPr="001C4779">
        <w:t xml:space="preserve">Umgekehrt ist im ländlichen Raum nach zahlreichen Fusionen die Parochie so groß, dass von der intendierten „Versorgung“ im Nahbereich keine Rede mehr sein kann. </w:t>
      </w:r>
    </w:p>
    <w:p w:rsidR="00F94074" w:rsidRDefault="001C4779" w:rsidP="00F94074">
      <w:pPr>
        <w:pStyle w:val="Listenabsatz"/>
        <w:numPr>
          <w:ilvl w:val="1"/>
          <w:numId w:val="23"/>
        </w:numPr>
        <w:spacing w:after="200"/>
      </w:pPr>
      <w:r w:rsidRPr="001C4779">
        <w:t>Die Parochie ordnet das geistliche Leben nach dem Wohnortprinzip; dies aber ist in e</w:t>
      </w:r>
      <w:r w:rsidRPr="001C4779">
        <w:t>i</w:t>
      </w:r>
      <w:r w:rsidRPr="001C4779">
        <w:t>ner hochgradig mobilen Gesellschaft nicht mehr für alle Menschen le</w:t>
      </w:r>
      <w:r w:rsidRPr="001C4779">
        <w:t>i</w:t>
      </w:r>
      <w:r w:rsidRPr="001C4779">
        <w:t xml:space="preserve">tend. </w:t>
      </w:r>
    </w:p>
    <w:p w:rsidR="00F94074" w:rsidRDefault="00F94074" w:rsidP="00D8522D">
      <w:pPr>
        <w:pStyle w:val="Listenabsatz"/>
        <w:numPr>
          <w:ilvl w:val="0"/>
          <w:numId w:val="23"/>
        </w:numPr>
        <w:ind w:left="714" w:hanging="357"/>
      </w:pPr>
      <w:r w:rsidRPr="00F94074">
        <w:rPr>
          <w:b/>
        </w:rPr>
        <w:t>Landeskirche</w:t>
      </w:r>
      <w:r>
        <w:rPr>
          <w:b/>
        </w:rPr>
        <w:t xml:space="preserve"> </w:t>
      </w:r>
      <w:r>
        <w:t>(16. Jh.):</w:t>
      </w:r>
    </w:p>
    <w:p w:rsidR="001C4779" w:rsidRPr="001C4779" w:rsidRDefault="00F94074" w:rsidP="00F94074">
      <w:pPr>
        <w:spacing w:after="200"/>
        <w:jc w:val="center"/>
      </w:pPr>
      <w:r w:rsidRPr="00F94074">
        <w:drawing>
          <wp:inline distT="0" distB="0" distL="0" distR="0">
            <wp:extent cx="3459949" cy="2593610"/>
            <wp:effectExtent l="25400" t="0" r="0" b="0"/>
            <wp:docPr id="2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468169" cy="2599772"/>
                    </a:xfrm>
                    <a:prstGeom prst="rect">
                      <a:avLst/>
                    </a:prstGeom>
                    <a:noFill/>
                    <a:ln w="9525">
                      <a:noFill/>
                      <a:miter lim="800000"/>
                      <a:headEnd/>
                      <a:tailEnd/>
                    </a:ln>
                  </pic:spPr>
                </pic:pic>
              </a:graphicData>
            </a:graphic>
          </wp:inline>
        </w:drawing>
      </w:r>
    </w:p>
    <w:p w:rsidR="007964F2" w:rsidRDefault="001B21AF" w:rsidP="00610737">
      <w:pPr>
        <w:pStyle w:val="Listenabsatz"/>
        <w:numPr>
          <w:ilvl w:val="0"/>
          <w:numId w:val="23"/>
        </w:numPr>
        <w:ind w:left="714" w:hanging="357"/>
      </w:pPr>
      <w:r w:rsidRPr="00D32E30">
        <w:rPr>
          <w:b/>
        </w:rPr>
        <w:t>Vereinskirche</w:t>
      </w:r>
      <w:r>
        <w:t xml:space="preserve"> (1848/1890)</w:t>
      </w:r>
      <w:r w:rsidR="00464974">
        <w:t>:</w:t>
      </w:r>
      <w:r w:rsidR="00464974">
        <w:rPr>
          <w:rStyle w:val="Funotenzeichen"/>
        </w:rPr>
        <w:footnoteReference w:id="11"/>
      </w:r>
    </w:p>
    <w:p w:rsidR="001B21AF" w:rsidRDefault="007964F2" w:rsidP="007964F2">
      <w:pPr>
        <w:spacing w:after="200"/>
        <w:jc w:val="center"/>
      </w:pPr>
      <w:r w:rsidRPr="007964F2">
        <w:drawing>
          <wp:inline distT="0" distB="0" distL="0" distR="0">
            <wp:extent cx="3482655" cy="2610634"/>
            <wp:effectExtent l="25400" t="0" r="0" b="0"/>
            <wp:docPr id="2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481870" cy="2610046"/>
                    </a:xfrm>
                    <a:prstGeom prst="rect">
                      <a:avLst/>
                    </a:prstGeom>
                    <a:noFill/>
                    <a:ln w="9525">
                      <a:noFill/>
                      <a:miter lim="800000"/>
                      <a:headEnd/>
                      <a:tailEnd/>
                    </a:ln>
                  </pic:spPr>
                </pic:pic>
              </a:graphicData>
            </a:graphic>
          </wp:inline>
        </w:drawing>
      </w:r>
      <w:r w:rsidR="005E2B74">
        <w:rPr>
          <w:rStyle w:val="Funotenzeichen"/>
        </w:rPr>
        <w:footnoteReference w:id="12"/>
      </w:r>
    </w:p>
    <w:p w:rsidR="00B607AE" w:rsidRDefault="001B21AF" w:rsidP="00D8522D">
      <w:pPr>
        <w:pStyle w:val="Listenabsatz"/>
        <w:numPr>
          <w:ilvl w:val="0"/>
          <w:numId w:val="23"/>
        </w:numPr>
        <w:ind w:left="714" w:hanging="357"/>
      </w:pPr>
      <w:r w:rsidRPr="001422DD">
        <w:rPr>
          <w:b/>
        </w:rPr>
        <w:t>Konventskirche</w:t>
      </w:r>
      <w:r>
        <w:t xml:space="preserve"> (1934)</w:t>
      </w:r>
      <w:r w:rsidR="00B607AE">
        <w:t>:</w:t>
      </w:r>
      <w:r w:rsidR="006E0846">
        <w:rPr>
          <w:rStyle w:val="Funotenzeichen"/>
        </w:rPr>
        <w:footnoteReference w:id="13"/>
      </w:r>
    </w:p>
    <w:p w:rsidR="001B21AF" w:rsidRDefault="00B607AE" w:rsidP="00B607AE">
      <w:pPr>
        <w:spacing w:after="200"/>
        <w:jc w:val="center"/>
      </w:pPr>
      <w:r w:rsidRPr="00B607AE">
        <w:drawing>
          <wp:inline distT="0" distB="0" distL="0" distR="0">
            <wp:extent cx="3755174" cy="2814914"/>
            <wp:effectExtent l="25400" t="0" r="4026" b="0"/>
            <wp:docPr id="2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756031" cy="2815557"/>
                    </a:xfrm>
                    <a:prstGeom prst="rect">
                      <a:avLst/>
                    </a:prstGeom>
                    <a:noFill/>
                    <a:ln w="9525">
                      <a:noFill/>
                      <a:miter lim="800000"/>
                      <a:headEnd/>
                      <a:tailEnd/>
                    </a:ln>
                  </pic:spPr>
                </pic:pic>
              </a:graphicData>
            </a:graphic>
          </wp:inline>
        </w:drawing>
      </w:r>
    </w:p>
    <w:p w:rsidR="0094608F" w:rsidRDefault="001B21AF" w:rsidP="00D8522D">
      <w:pPr>
        <w:pStyle w:val="Listenabsatz"/>
        <w:numPr>
          <w:ilvl w:val="0"/>
          <w:numId w:val="23"/>
        </w:numPr>
        <w:ind w:left="714" w:hanging="357"/>
      </w:pPr>
      <w:r w:rsidRPr="00DF133C">
        <w:rPr>
          <w:b/>
        </w:rPr>
        <w:t>Funktionskirche</w:t>
      </w:r>
      <w:r w:rsidRPr="00DF133C">
        <w:t xml:space="preserve"> (1968)</w:t>
      </w:r>
      <w:r w:rsidR="00DF133C">
        <w:t>:</w:t>
      </w:r>
    </w:p>
    <w:p w:rsidR="001B21AF" w:rsidRPr="00DF133C" w:rsidRDefault="0094608F" w:rsidP="0094608F">
      <w:pPr>
        <w:spacing w:after="200"/>
        <w:jc w:val="center"/>
      </w:pPr>
      <w:r w:rsidRPr="0094608F">
        <w:drawing>
          <wp:inline distT="0" distB="0" distL="0" distR="0">
            <wp:extent cx="3697970" cy="2772032"/>
            <wp:effectExtent l="25400" t="0" r="10430" b="0"/>
            <wp:docPr id="2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726204" cy="2793196"/>
                    </a:xfrm>
                    <a:prstGeom prst="rect">
                      <a:avLst/>
                    </a:prstGeom>
                    <a:noFill/>
                    <a:ln w="9525">
                      <a:noFill/>
                      <a:miter lim="800000"/>
                      <a:headEnd/>
                      <a:tailEnd/>
                    </a:ln>
                  </pic:spPr>
                </pic:pic>
              </a:graphicData>
            </a:graphic>
          </wp:inline>
        </w:drawing>
      </w:r>
      <w:r>
        <w:rPr>
          <w:rStyle w:val="Funotenzeichen"/>
        </w:rPr>
        <w:footnoteReference w:id="14"/>
      </w:r>
    </w:p>
    <w:p w:rsidR="00D74543" w:rsidRDefault="001B21AF" w:rsidP="00D74543">
      <w:pPr>
        <w:pStyle w:val="Listenabsatz"/>
        <w:keepNext/>
        <w:numPr>
          <w:ilvl w:val="0"/>
          <w:numId w:val="23"/>
        </w:numPr>
        <w:ind w:left="714" w:hanging="357"/>
      </w:pPr>
      <w:r w:rsidRPr="0094608F">
        <w:rPr>
          <w:b/>
        </w:rPr>
        <w:t>Missionskirche</w:t>
      </w:r>
      <w:r>
        <w:t xml:space="preserve"> (1989/1999)</w:t>
      </w:r>
      <w:r w:rsidR="0094608F">
        <w:t>:</w:t>
      </w:r>
      <w:r w:rsidR="0094608F">
        <w:rPr>
          <w:rStyle w:val="Funotenzeichen"/>
        </w:rPr>
        <w:footnoteReference w:id="15"/>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6198"/>
        <w:gridCol w:w="3316"/>
      </w:tblGrid>
      <w:tr w:rsidR="00D74543">
        <w:trPr>
          <w:cnfStyle w:val="100000000000"/>
        </w:trPr>
        <w:tc>
          <w:tcPr>
            <w:cnfStyle w:val="001000000000"/>
            <w:tcW w:w="4719" w:type="dxa"/>
            <w:tcBorders>
              <w:right w:val="none" w:sz="0" w:space="0" w:color="auto"/>
            </w:tcBorders>
            <w:shd w:val="clear" w:color="C0C0C0" w:fill="FFFFFF"/>
          </w:tcPr>
          <w:p w:rsidR="00D74543" w:rsidRDefault="00D74543" w:rsidP="00D74543">
            <w:r w:rsidRPr="00D8522D">
              <w:drawing>
                <wp:inline distT="0" distB="0" distL="0" distR="0">
                  <wp:extent cx="3677839" cy="2756944"/>
                  <wp:effectExtent l="25400" t="0" r="5161" b="0"/>
                  <wp:docPr id="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685937" cy="2763014"/>
                          </a:xfrm>
                          <a:prstGeom prst="rect">
                            <a:avLst/>
                          </a:prstGeom>
                          <a:noFill/>
                          <a:ln w="9525">
                            <a:noFill/>
                            <a:miter lim="800000"/>
                            <a:headEnd/>
                            <a:tailEnd/>
                          </a:ln>
                        </pic:spPr>
                      </pic:pic>
                    </a:graphicData>
                  </a:graphic>
                </wp:inline>
              </w:drawing>
            </w:r>
            <w:r w:rsidR="00485F77" w:rsidRPr="00082D22">
              <w:rPr>
                <w:rStyle w:val="Funotenzeichen"/>
                <w:b w:val="0"/>
                <w:sz w:val="22"/>
              </w:rPr>
              <w:footnoteReference w:id="16"/>
            </w:r>
          </w:p>
        </w:tc>
        <w:tc>
          <w:tcPr>
            <w:tcW w:w="4719" w:type="dxa"/>
            <w:shd w:val="clear" w:color="C0C0C0" w:fill="FFFFFF"/>
          </w:tcPr>
          <w:p w:rsidR="00D74543" w:rsidRDefault="00D74543" w:rsidP="00D74543">
            <w:pPr>
              <w:cnfStyle w:val="100000000000"/>
              <w:rPr>
                <w:b w:val="0"/>
                <w:i/>
                <w:sz w:val="22"/>
              </w:rPr>
            </w:pPr>
          </w:p>
          <w:p w:rsidR="00D74543" w:rsidRPr="00D74543" w:rsidRDefault="00D74543" w:rsidP="00D74543">
            <w:pPr>
              <w:cnfStyle w:val="100000000000"/>
              <w:rPr>
                <w:b w:val="0"/>
                <w:i/>
                <w:sz w:val="22"/>
              </w:rPr>
            </w:pPr>
            <w:r w:rsidRPr="00D74543">
              <w:rPr>
                <w:b w:val="0"/>
                <w:i/>
                <w:sz w:val="22"/>
              </w:rPr>
              <w:t>„Deshalb erweist sich die Veran</w:t>
            </w:r>
            <w:r w:rsidRPr="00D74543">
              <w:rPr>
                <w:b w:val="0"/>
                <w:i/>
                <w:sz w:val="22"/>
              </w:rPr>
              <w:t>t</w:t>
            </w:r>
            <w:r w:rsidRPr="00D74543">
              <w:rPr>
                <w:b w:val="0"/>
                <w:i/>
                <w:sz w:val="22"/>
              </w:rPr>
              <w:t>wortung für die Weitergabe des Evangeliums an die nächste Gener</w:t>
            </w:r>
            <w:r w:rsidRPr="00D74543">
              <w:rPr>
                <w:b w:val="0"/>
                <w:i/>
                <w:sz w:val="22"/>
              </w:rPr>
              <w:t>a</w:t>
            </w:r>
            <w:r w:rsidRPr="00D74543">
              <w:rPr>
                <w:b w:val="0"/>
                <w:i/>
                <w:sz w:val="22"/>
              </w:rPr>
              <w:t>tion als Schlüsselverantwortung der Kirche. Ins</w:t>
            </w:r>
            <w:r w:rsidRPr="00D74543">
              <w:rPr>
                <w:b w:val="0"/>
                <w:i/>
                <w:sz w:val="22"/>
              </w:rPr>
              <w:t>o</w:t>
            </w:r>
            <w:r w:rsidRPr="00D74543">
              <w:rPr>
                <w:b w:val="0"/>
                <w:i/>
                <w:sz w:val="22"/>
              </w:rPr>
              <w:t>fern lässt sich die Kirche insgesamt als eine Veran</w:t>
            </w:r>
            <w:r w:rsidRPr="00D74543">
              <w:rPr>
                <w:b w:val="0"/>
                <w:i/>
                <w:sz w:val="22"/>
              </w:rPr>
              <w:t>t</w:t>
            </w:r>
            <w:r w:rsidRPr="00D74543">
              <w:rPr>
                <w:b w:val="0"/>
                <w:i/>
                <w:sz w:val="22"/>
              </w:rPr>
              <w:t>wo</w:t>
            </w:r>
            <w:r w:rsidRPr="00D74543">
              <w:rPr>
                <w:b w:val="0"/>
                <w:i/>
                <w:sz w:val="22"/>
              </w:rPr>
              <w:t>r</w:t>
            </w:r>
            <w:r w:rsidRPr="00D74543">
              <w:rPr>
                <w:b w:val="0"/>
                <w:i/>
                <w:sz w:val="22"/>
              </w:rPr>
              <w:t>tungsgemeinschaft für die Weitergabe des Evangeliums b</w:t>
            </w:r>
            <w:r w:rsidRPr="00D74543">
              <w:rPr>
                <w:b w:val="0"/>
                <w:i/>
                <w:sz w:val="22"/>
              </w:rPr>
              <w:t>e</w:t>
            </w:r>
            <w:r w:rsidRPr="00D74543">
              <w:rPr>
                <w:b w:val="0"/>
                <w:i/>
                <w:sz w:val="22"/>
              </w:rPr>
              <w:t>schre</w:t>
            </w:r>
            <w:r w:rsidRPr="00D74543">
              <w:rPr>
                <w:b w:val="0"/>
                <w:i/>
                <w:sz w:val="22"/>
              </w:rPr>
              <w:t>i</w:t>
            </w:r>
            <w:r w:rsidRPr="00D74543">
              <w:rPr>
                <w:b w:val="0"/>
                <w:i/>
                <w:sz w:val="22"/>
              </w:rPr>
              <w:t>ben.“</w:t>
            </w:r>
            <w:r>
              <w:rPr>
                <w:b w:val="0"/>
                <w:i/>
                <w:sz w:val="22"/>
              </w:rPr>
              <w:t xml:space="preserve"> (Wolfgang Huber</w:t>
            </w:r>
            <w:r w:rsidRPr="00D74543">
              <w:rPr>
                <w:rStyle w:val="Funotenzeichen"/>
                <w:b w:val="0"/>
                <w:i/>
                <w:sz w:val="22"/>
              </w:rPr>
              <w:footnoteReference w:id="17"/>
            </w:r>
            <w:r>
              <w:rPr>
                <w:b w:val="0"/>
                <w:i/>
                <w:sz w:val="22"/>
              </w:rPr>
              <w:t>)</w:t>
            </w:r>
          </w:p>
        </w:tc>
      </w:tr>
    </w:tbl>
    <w:p w:rsidR="00D8522D" w:rsidRDefault="00D8522D" w:rsidP="00D74543"/>
    <w:p w:rsidR="000810B7" w:rsidRDefault="001B21AF" w:rsidP="001B21AF">
      <w:pPr>
        <w:pStyle w:val="berschrift3"/>
      </w:pPr>
      <w:bookmarkStart w:id="17" w:name="_Toc212176991"/>
      <w:bookmarkStart w:id="18" w:name="_Toc212181147"/>
      <w:bookmarkEnd w:id="15"/>
      <w:bookmarkEnd w:id="16"/>
      <w:r>
        <w:t>1.3.2 Und wissen wir nun gar nicht mehr, was die Gemeinde Jesu ist?</w:t>
      </w:r>
      <w:bookmarkEnd w:id="17"/>
      <w:bookmarkEnd w:id="18"/>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6438"/>
        <w:gridCol w:w="3076"/>
      </w:tblGrid>
      <w:tr w:rsidR="000810B7">
        <w:trPr>
          <w:cnfStyle w:val="100000000000"/>
        </w:trPr>
        <w:tc>
          <w:tcPr>
            <w:cnfStyle w:val="001000000000"/>
            <w:tcW w:w="4719" w:type="dxa"/>
            <w:tcBorders>
              <w:right w:val="none" w:sz="0" w:space="0" w:color="auto"/>
            </w:tcBorders>
            <w:shd w:val="clear" w:color="C0C0C0" w:fill="FFFFFF"/>
          </w:tcPr>
          <w:p w:rsidR="000810B7" w:rsidRDefault="00AC733F" w:rsidP="000810B7">
            <w:r w:rsidRPr="00E36F4A">
              <w:drawing>
                <wp:inline distT="0" distB="0" distL="0" distR="0">
                  <wp:extent cx="3833232" cy="2873427"/>
                  <wp:effectExtent l="25400" t="0" r="2168" b="0"/>
                  <wp:docPr id="3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833043" cy="2873285"/>
                          </a:xfrm>
                          <a:prstGeom prst="rect">
                            <a:avLst/>
                          </a:prstGeom>
                          <a:noFill/>
                          <a:ln w="9525">
                            <a:noFill/>
                            <a:miter lim="800000"/>
                            <a:headEnd/>
                            <a:tailEnd/>
                          </a:ln>
                        </pic:spPr>
                      </pic:pic>
                    </a:graphicData>
                  </a:graphic>
                </wp:inline>
              </w:drawing>
            </w:r>
            <w:r w:rsidRPr="00AC733F">
              <w:rPr>
                <w:rStyle w:val="Funotenzeichen"/>
                <w:b w:val="0"/>
                <w:sz w:val="22"/>
              </w:rPr>
              <w:footnoteReference w:id="18"/>
            </w:r>
          </w:p>
        </w:tc>
        <w:tc>
          <w:tcPr>
            <w:tcW w:w="4719" w:type="dxa"/>
            <w:shd w:val="clear" w:color="C0C0C0" w:fill="FFFFFF"/>
          </w:tcPr>
          <w:p w:rsidR="000810B7" w:rsidRPr="000810B7" w:rsidRDefault="000810B7" w:rsidP="000810B7">
            <w:pPr>
              <w:cnfStyle w:val="100000000000"/>
              <w:rPr>
                <w:b w:val="0"/>
                <w:sz w:val="22"/>
              </w:rPr>
            </w:pPr>
            <w:r w:rsidRPr="000810B7">
              <w:rPr>
                <w:b w:val="0"/>
                <w:sz w:val="22"/>
              </w:rPr>
              <w:t>Es geht um ein gemeinschaftl</w:t>
            </w:r>
            <w:r w:rsidRPr="000810B7">
              <w:rPr>
                <w:b w:val="0"/>
                <w:sz w:val="22"/>
              </w:rPr>
              <w:t>i</w:t>
            </w:r>
            <w:r w:rsidRPr="000810B7">
              <w:rPr>
                <w:b w:val="0"/>
                <w:sz w:val="22"/>
              </w:rPr>
              <w:t>ches „Ineina</w:t>
            </w:r>
            <w:r w:rsidRPr="000810B7">
              <w:rPr>
                <w:b w:val="0"/>
                <w:sz w:val="22"/>
              </w:rPr>
              <w:t>n</w:t>
            </w:r>
            <w:r w:rsidRPr="000810B7">
              <w:rPr>
                <w:b w:val="0"/>
                <w:sz w:val="22"/>
              </w:rPr>
              <w:t>der von göttlicher Anrede und menschlichem Ve</w:t>
            </w:r>
            <w:r w:rsidRPr="000810B7">
              <w:rPr>
                <w:b w:val="0"/>
                <w:sz w:val="22"/>
              </w:rPr>
              <w:t>r</w:t>
            </w:r>
            <w:r w:rsidRPr="000810B7">
              <w:rPr>
                <w:b w:val="0"/>
                <w:sz w:val="22"/>
              </w:rPr>
              <w:t>trauen darauf, dass dieses Wort ‚mir’ gilt und ‚mich’ von Sünde, Angst und allen and</w:t>
            </w:r>
            <w:r w:rsidRPr="000810B7">
              <w:rPr>
                <w:b w:val="0"/>
                <w:sz w:val="22"/>
              </w:rPr>
              <w:t>e</w:t>
            </w:r>
            <w:r w:rsidRPr="000810B7">
              <w:rPr>
                <w:b w:val="0"/>
                <w:sz w:val="22"/>
              </w:rPr>
              <w:t>ren Mäc</w:t>
            </w:r>
            <w:r w:rsidRPr="000810B7">
              <w:rPr>
                <w:b w:val="0"/>
                <w:sz w:val="22"/>
              </w:rPr>
              <w:t>h</w:t>
            </w:r>
            <w:r w:rsidRPr="000810B7">
              <w:rPr>
                <w:b w:val="0"/>
                <w:sz w:val="22"/>
              </w:rPr>
              <w:t>ten befreit, die mich von Gott trennen kön</w:t>
            </w:r>
            <w:r w:rsidRPr="000810B7">
              <w:rPr>
                <w:b w:val="0"/>
                <w:sz w:val="22"/>
              </w:rPr>
              <w:t>n</w:t>
            </w:r>
            <w:r w:rsidRPr="000810B7">
              <w:rPr>
                <w:b w:val="0"/>
                <w:sz w:val="22"/>
              </w:rPr>
              <w:t>ten.“</w:t>
            </w:r>
            <w:r w:rsidRPr="000810B7">
              <w:rPr>
                <w:rStyle w:val="Funotenzeichen"/>
                <w:b w:val="0"/>
                <w:sz w:val="22"/>
              </w:rPr>
              <w:footnoteReference w:id="19"/>
            </w:r>
          </w:p>
          <w:p w:rsidR="000810B7" w:rsidRPr="000810B7" w:rsidRDefault="000810B7" w:rsidP="000810B7">
            <w:pPr>
              <w:cnfStyle w:val="100000000000"/>
              <w:rPr>
                <w:b w:val="0"/>
                <w:sz w:val="22"/>
              </w:rPr>
            </w:pPr>
            <w:r w:rsidRPr="000810B7">
              <w:rPr>
                <w:b w:val="0"/>
                <w:sz w:val="22"/>
              </w:rPr>
              <w:t>„Im Gottesdienst wird deu</w:t>
            </w:r>
            <w:r w:rsidRPr="000810B7">
              <w:rPr>
                <w:b w:val="0"/>
                <w:sz w:val="22"/>
              </w:rPr>
              <w:t>t</w:t>
            </w:r>
            <w:r w:rsidRPr="000810B7">
              <w:rPr>
                <w:b w:val="0"/>
                <w:sz w:val="22"/>
              </w:rPr>
              <w:t>lich, dass die Kirche ein durch das Wechselspiel von göttlichem Wort und menschlichem Ve</w:t>
            </w:r>
            <w:r w:rsidRPr="000810B7">
              <w:rPr>
                <w:b w:val="0"/>
                <w:sz w:val="22"/>
              </w:rPr>
              <w:t>r</w:t>
            </w:r>
            <w:r w:rsidRPr="000810B7">
              <w:rPr>
                <w:b w:val="0"/>
                <w:sz w:val="22"/>
              </w:rPr>
              <w:t>trauen konstituiertes komm</w:t>
            </w:r>
            <w:r w:rsidRPr="000810B7">
              <w:rPr>
                <w:b w:val="0"/>
                <w:sz w:val="22"/>
              </w:rPr>
              <w:t>u</w:t>
            </w:r>
            <w:r w:rsidRPr="000810B7">
              <w:rPr>
                <w:b w:val="0"/>
                <w:sz w:val="22"/>
              </w:rPr>
              <w:t>nikatives G</w:t>
            </w:r>
            <w:r w:rsidRPr="000810B7">
              <w:rPr>
                <w:b w:val="0"/>
                <w:sz w:val="22"/>
              </w:rPr>
              <w:t>e</w:t>
            </w:r>
            <w:r w:rsidRPr="000810B7">
              <w:rPr>
                <w:b w:val="0"/>
                <w:sz w:val="22"/>
              </w:rPr>
              <w:t>schehen ist.“</w:t>
            </w:r>
            <w:r w:rsidRPr="000810B7">
              <w:rPr>
                <w:rStyle w:val="Funotenzeichen"/>
                <w:b w:val="0"/>
                <w:sz w:val="22"/>
              </w:rPr>
              <w:footnoteReference w:id="20"/>
            </w:r>
            <w:r w:rsidRPr="000810B7">
              <w:rPr>
                <w:b w:val="0"/>
                <w:sz w:val="22"/>
              </w:rPr>
              <w:t xml:space="preserve"> </w:t>
            </w:r>
          </w:p>
        </w:tc>
      </w:tr>
    </w:tbl>
    <w:p w:rsidR="001B21AF" w:rsidRPr="000810B7" w:rsidRDefault="001B21AF" w:rsidP="000810B7"/>
    <w:p w:rsidR="005D0E3E" w:rsidRDefault="005D0E3E" w:rsidP="00E36F4A">
      <w:pPr>
        <w:jc w:val="center"/>
      </w:pPr>
    </w:p>
    <w:p w:rsidR="000810B7" w:rsidRDefault="000810B7" w:rsidP="000810B7">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6080"/>
        <w:gridCol w:w="3434"/>
      </w:tblGrid>
      <w:tr w:rsidR="00286E4C">
        <w:trPr>
          <w:cnfStyle w:val="100000000000"/>
        </w:trPr>
        <w:tc>
          <w:tcPr>
            <w:cnfStyle w:val="001000000000"/>
            <w:tcW w:w="4719" w:type="dxa"/>
            <w:tcBorders>
              <w:right w:val="none" w:sz="0" w:space="0" w:color="auto"/>
            </w:tcBorders>
            <w:shd w:val="clear" w:color="C0C0C0" w:fill="FFFFFF"/>
          </w:tcPr>
          <w:p w:rsidR="00286E4C" w:rsidRDefault="00286E4C" w:rsidP="00631ACF">
            <w:pPr>
              <w:jc w:val="center"/>
            </w:pPr>
            <w:r w:rsidRPr="000810B7">
              <w:drawing>
                <wp:inline distT="0" distB="0" distL="0" distR="0">
                  <wp:extent cx="3607989" cy="2704584"/>
                  <wp:effectExtent l="25400" t="0" r="0" b="0"/>
                  <wp:docPr id="3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3612898" cy="2708264"/>
                          </a:xfrm>
                          <a:prstGeom prst="rect">
                            <a:avLst/>
                          </a:prstGeom>
                          <a:noFill/>
                          <a:ln w="9525">
                            <a:noFill/>
                            <a:miter lim="800000"/>
                            <a:headEnd/>
                            <a:tailEnd/>
                          </a:ln>
                        </pic:spPr>
                      </pic:pic>
                    </a:graphicData>
                  </a:graphic>
                </wp:inline>
              </w:drawing>
            </w:r>
            <w:r w:rsidRPr="000810B7">
              <w:rPr>
                <w:rStyle w:val="Funotenzeichen"/>
                <w:b w:val="0"/>
                <w:sz w:val="22"/>
                <w:lang w:eastAsia="de-DE"/>
              </w:rPr>
              <w:footnoteReference w:id="21"/>
            </w:r>
          </w:p>
        </w:tc>
        <w:tc>
          <w:tcPr>
            <w:tcW w:w="4719" w:type="dxa"/>
            <w:shd w:val="clear" w:color="C0C0C0" w:fill="FFFFFF"/>
          </w:tcPr>
          <w:p w:rsidR="00286E4C" w:rsidRDefault="00286E4C" w:rsidP="00286E4C">
            <w:pPr>
              <w:cnfStyle w:val="100000000000"/>
              <w:rPr>
                <w:b w:val="0"/>
                <w:sz w:val="22"/>
              </w:rPr>
            </w:pPr>
          </w:p>
          <w:p w:rsidR="00286E4C" w:rsidRPr="00286E4C" w:rsidRDefault="00286E4C" w:rsidP="00286E4C">
            <w:pPr>
              <w:cnfStyle w:val="100000000000"/>
              <w:rPr>
                <w:b w:val="0"/>
                <w:sz w:val="22"/>
              </w:rPr>
            </w:pPr>
            <w:r w:rsidRPr="00286E4C">
              <w:rPr>
                <w:b w:val="0"/>
                <w:sz w:val="22"/>
              </w:rPr>
              <w:t>Gemeinde als Zeugin des Evangel</w:t>
            </w:r>
            <w:r w:rsidRPr="00286E4C">
              <w:rPr>
                <w:b w:val="0"/>
                <w:sz w:val="22"/>
              </w:rPr>
              <w:t>i</w:t>
            </w:r>
            <w:r w:rsidRPr="00286E4C">
              <w:rPr>
                <w:b w:val="0"/>
                <w:sz w:val="22"/>
              </w:rPr>
              <w:t>ums, das ist der starke A</w:t>
            </w:r>
            <w:r w:rsidRPr="00286E4C">
              <w:rPr>
                <w:b w:val="0"/>
                <w:sz w:val="22"/>
              </w:rPr>
              <w:t>k</w:t>
            </w:r>
            <w:r w:rsidRPr="00286E4C">
              <w:rPr>
                <w:b w:val="0"/>
                <w:sz w:val="22"/>
              </w:rPr>
              <w:t>zent, den Barmen neben der Gemeinschaf</w:t>
            </w:r>
            <w:r w:rsidRPr="00286E4C">
              <w:rPr>
                <w:b w:val="0"/>
                <w:sz w:val="22"/>
              </w:rPr>
              <w:t>t</w:t>
            </w:r>
            <w:r w:rsidRPr="00286E4C">
              <w:rPr>
                <w:b w:val="0"/>
                <w:sz w:val="22"/>
              </w:rPr>
              <w:t>lichkeit der G</w:t>
            </w:r>
            <w:r w:rsidRPr="00286E4C">
              <w:rPr>
                <w:b w:val="0"/>
                <w:sz w:val="22"/>
              </w:rPr>
              <w:t>e</w:t>
            </w:r>
            <w:r w:rsidRPr="00286E4C">
              <w:rPr>
                <w:b w:val="0"/>
                <w:sz w:val="22"/>
              </w:rPr>
              <w:t>meinde, also ihrer sozialen D</w:t>
            </w:r>
            <w:r w:rsidRPr="00286E4C">
              <w:rPr>
                <w:b w:val="0"/>
                <w:sz w:val="22"/>
              </w:rPr>
              <w:t>i</w:t>
            </w:r>
            <w:r w:rsidRPr="00286E4C">
              <w:rPr>
                <w:b w:val="0"/>
                <w:sz w:val="22"/>
              </w:rPr>
              <w:t>mension, noch in unsere Kirchentheorie ei</w:t>
            </w:r>
            <w:r w:rsidRPr="00286E4C">
              <w:rPr>
                <w:b w:val="0"/>
                <w:sz w:val="22"/>
              </w:rPr>
              <w:t>n</w:t>
            </w:r>
            <w:r w:rsidRPr="00286E4C">
              <w:rPr>
                <w:b w:val="0"/>
                <w:sz w:val="22"/>
              </w:rPr>
              <w:t>trägt.</w:t>
            </w:r>
            <w:r w:rsidRPr="00286E4C">
              <w:rPr>
                <w:rStyle w:val="Funotenzeichen"/>
                <w:b w:val="0"/>
                <w:sz w:val="22"/>
              </w:rPr>
              <w:footnoteReference w:id="22"/>
            </w:r>
          </w:p>
        </w:tc>
      </w:tr>
    </w:tbl>
    <w:p w:rsidR="00286E4C" w:rsidRDefault="00286E4C" w:rsidP="00631ACF">
      <w:pPr>
        <w:jc w:val="center"/>
      </w:pPr>
    </w:p>
    <w:p w:rsidR="004A0CA9" w:rsidRDefault="004A0CA9" w:rsidP="004E58FF">
      <w:r>
        <w:t xml:space="preserve">Hierbei geht </w:t>
      </w:r>
      <w:r w:rsidR="001B21AF" w:rsidRPr="004E58FF">
        <w:t>es um leibliche, sichtbare, höchst reale und darum auch mensc</w:t>
      </w:r>
      <w:r w:rsidR="001B21AF" w:rsidRPr="004E58FF">
        <w:t>h</w:t>
      </w:r>
      <w:r w:rsidR="001B21AF" w:rsidRPr="004E58FF">
        <w:t xml:space="preserve">lich gestaltbare Vorgänge </w:t>
      </w:r>
      <w:r w:rsidR="004E58FF" w:rsidRPr="004E58FF">
        <w:t>(Wort, Versammlung, Organisationsformen)</w:t>
      </w:r>
      <w:r w:rsidR="001B21AF" w:rsidRPr="004E58FF">
        <w:t xml:space="preserve">. </w:t>
      </w:r>
      <w:r w:rsidR="001B21AF" w:rsidRPr="004E58FF">
        <w:rPr>
          <w:b/>
        </w:rPr>
        <w:t>Diese sichtbare Gemeinde, die wir gestalten kö</w:t>
      </w:r>
      <w:r w:rsidR="001B21AF" w:rsidRPr="004E58FF">
        <w:rPr>
          <w:b/>
        </w:rPr>
        <w:t>n</w:t>
      </w:r>
      <w:r w:rsidR="001B21AF" w:rsidRPr="004E58FF">
        <w:rPr>
          <w:b/>
        </w:rPr>
        <w:t>nen, ist jedoch nicht voll identisch, sondern noch zu unterscheiden von der geis</w:t>
      </w:r>
      <w:r w:rsidR="001B21AF" w:rsidRPr="004E58FF">
        <w:rPr>
          <w:b/>
        </w:rPr>
        <w:t>t</w:t>
      </w:r>
      <w:r w:rsidR="001B21AF" w:rsidRPr="004E58FF">
        <w:rPr>
          <w:b/>
        </w:rPr>
        <w:t>lichen Gemeinschaft, von der unsichtbaren Kirche der wahrhaft Gläubi</w:t>
      </w:r>
      <w:r>
        <w:rPr>
          <w:b/>
        </w:rPr>
        <w:t>gen</w:t>
      </w:r>
      <w:r w:rsidRPr="004A0CA9">
        <w:t>:</w:t>
      </w:r>
      <w:r>
        <w:rPr>
          <w:b/>
        </w:rPr>
        <w:t xml:space="preserve"> </w:t>
      </w:r>
      <w:r w:rsidR="001B21AF">
        <w:t>„</w:t>
      </w:r>
      <w:proofErr w:type="spellStart"/>
      <w:r w:rsidR="001B21AF">
        <w:t>Abscondita</w:t>
      </w:r>
      <w:proofErr w:type="spellEnd"/>
      <w:r w:rsidR="001B21AF">
        <w:t xml:space="preserve"> </w:t>
      </w:r>
      <w:proofErr w:type="spellStart"/>
      <w:r w:rsidR="001B21AF">
        <w:t>est</w:t>
      </w:r>
      <w:proofErr w:type="spellEnd"/>
      <w:r w:rsidR="001B21AF">
        <w:t xml:space="preserve"> </w:t>
      </w:r>
      <w:proofErr w:type="spellStart"/>
      <w:r w:rsidR="001B21AF">
        <w:t>ecclesia</w:t>
      </w:r>
      <w:proofErr w:type="spellEnd"/>
      <w:r w:rsidR="001B21AF">
        <w:t xml:space="preserve">, latent </w:t>
      </w:r>
      <w:proofErr w:type="spellStart"/>
      <w:r w:rsidR="001B21AF">
        <w:t>sancti</w:t>
      </w:r>
      <w:proofErr w:type="spellEnd"/>
      <w:r w:rsidR="001B21AF">
        <w:t>“</w:t>
      </w:r>
      <w:r>
        <w:t xml:space="preserve"> (M. L</w:t>
      </w:r>
      <w:r>
        <w:t>u</w:t>
      </w:r>
      <w:r>
        <w:t>ther</w:t>
      </w:r>
      <w:r w:rsidR="001B21AF">
        <w:rPr>
          <w:rStyle w:val="Funotenzeichen"/>
        </w:rPr>
        <w:footnoteReference w:id="23"/>
      </w:r>
      <w:r>
        <w:t>).</w:t>
      </w:r>
      <w:r w:rsidR="001B21AF">
        <w:t xml:space="preserve"> </w:t>
      </w:r>
    </w:p>
    <w:p w:rsidR="004A0CA9" w:rsidRPr="004A0CA9" w:rsidRDefault="001B21AF" w:rsidP="004E58FF">
      <w:r w:rsidRPr="004A0CA9">
        <w:t>Die verborgene und innerliche Christenheit kö</w:t>
      </w:r>
      <w:r w:rsidRPr="004A0CA9">
        <w:t>n</w:t>
      </w:r>
      <w:r w:rsidRPr="004A0CA9">
        <w:t>nen wir nicht organisieren, machen, aufbauen oder entwickeln. Sie, die eigentliche Kirche, ist sowohl unserem Zugriff wie unserem Blick entzogen. Mehr noch: Die äußerliche, leibliche Christenheit ist nicht voll identisch mit der geistlichen, inneren Christe</w:t>
      </w:r>
      <w:r w:rsidRPr="004A0CA9">
        <w:t>n</w:t>
      </w:r>
      <w:r w:rsidRPr="004A0CA9">
        <w:t xml:space="preserve">heit. Aber: </w:t>
      </w:r>
      <w:r w:rsidRPr="00B05E6F">
        <w:rPr>
          <w:b/>
        </w:rPr>
        <w:t>Diese Untersche</w:t>
      </w:r>
      <w:r w:rsidRPr="00B05E6F">
        <w:rPr>
          <w:b/>
        </w:rPr>
        <w:t>i</w:t>
      </w:r>
      <w:r w:rsidRPr="00B05E6F">
        <w:rPr>
          <w:b/>
        </w:rPr>
        <w:t>dung ist keine Trennung.</w:t>
      </w:r>
      <w:r w:rsidRPr="004A0CA9">
        <w:t xml:space="preserve"> </w:t>
      </w:r>
    </w:p>
    <w:p w:rsidR="003C5B1D" w:rsidRPr="003C5B1D" w:rsidRDefault="001B21AF" w:rsidP="001B21AF">
      <w:r>
        <w:t>Die ä</w:t>
      </w:r>
      <w:r>
        <w:t>u</w:t>
      </w:r>
      <w:r>
        <w:t xml:space="preserve">ßerliche, leibliche Christenheit ist ja die, in der das Wort verkündigt und kommuniziert wird, in der die Sakramente gereicht werden. </w:t>
      </w:r>
      <w:r w:rsidR="00B05E6F" w:rsidRPr="00B05E6F">
        <w:rPr>
          <w:b/>
        </w:rPr>
        <w:t xml:space="preserve">Diese </w:t>
      </w:r>
      <w:r w:rsidRPr="00B05E6F">
        <w:rPr>
          <w:b/>
        </w:rPr>
        <w:t>äußerliche, leibl</w:t>
      </w:r>
      <w:r w:rsidRPr="00B05E6F">
        <w:rPr>
          <w:b/>
        </w:rPr>
        <w:t>i</w:t>
      </w:r>
      <w:r w:rsidRPr="00B05E6F">
        <w:rPr>
          <w:b/>
        </w:rPr>
        <w:t>che Christenheit, ist darum ein extrem verheißungsvoller Ort</w:t>
      </w:r>
      <w:r w:rsidR="004A0CA9" w:rsidRPr="00B05E6F">
        <w:t>:</w:t>
      </w:r>
      <w:r w:rsidRPr="00B05E6F">
        <w:t xml:space="preserve"> </w:t>
      </w:r>
      <w:r>
        <w:t>Hier soll Glaube, Liebe, Hof</w:t>
      </w:r>
      <w:r>
        <w:t>f</w:t>
      </w:r>
      <w:r>
        <w:t>nung entstehen, das ist uns verheißen, hier sollen wir Gemeinde erleben, hier dürfen wir glauben, dass in dieser äußerlichen auch die innerliche Christe</w:t>
      </w:r>
      <w:r>
        <w:t>n</w:t>
      </w:r>
      <w:r>
        <w:t>heit ersteht und erwächst. Der Leib Christi nimmt Raum ein in dieser Welt; er ist zu erwarten und zu glauben in jeder Versammlung von Menschen, die auf ihres Hirten Stimme hören.</w:t>
      </w:r>
      <w:r>
        <w:rPr>
          <w:rStyle w:val="Funotenzeichen"/>
        </w:rPr>
        <w:footnoteReference w:id="24"/>
      </w:r>
      <w:r>
        <w:t xml:space="preserve"> </w:t>
      </w:r>
      <w:r w:rsidRPr="003C5B1D">
        <w:rPr>
          <w:b/>
        </w:rPr>
        <w:t>Diese Gemei</w:t>
      </w:r>
      <w:r w:rsidRPr="003C5B1D">
        <w:rPr>
          <w:b/>
        </w:rPr>
        <w:t>n</w:t>
      </w:r>
      <w:r w:rsidRPr="003C5B1D">
        <w:rPr>
          <w:b/>
        </w:rPr>
        <w:t>schaften gestalten wir und beten, glauben und erwarten, dass hier auch die innere, geistliche Chr</w:t>
      </w:r>
      <w:r w:rsidRPr="003C5B1D">
        <w:rPr>
          <w:b/>
        </w:rPr>
        <w:t>i</w:t>
      </w:r>
      <w:r w:rsidRPr="003C5B1D">
        <w:rPr>
          <w:b/>
        </w:rPr>
        <w:t>stenheit e</w:t>
      </w:r>
      <w:r w:rsidRPr="003C5B1D">
        <w:rPr>
          <w:b/>
        </w:rPr>
        <w:t>r</w:t>
      </w:r>
      <w:r w:rsidRPr="003C5B1D">
        <w:rPr>
          <w:b/>
        </w:rPr>
        <w:t>wächst</w:t>
      </w:r>
      <w:r w:rsidRPr="003C5B1D">
        <w:t>.</w:t>
      </w:r>
    </w:p>
    <w:p w:rsidR="003C5B1D" w:rsidRPr="00E77BA6" w:rsidRDefault="003C5B1D" w:rsidP="00E77BA6">
      <w:pPr>
        <w:rPr>
          <w:sz w:val="20"/>
        </w:rPr>
      </w:pPr>
      <w:r w:rsidRPr="00E77BA6">
        <w:rPr>
          <w:sz w:val="20"/>
        </w:rPr>
        <w:t>D</w:t>
      </w:r>
      <w:r w:rsidR="001B21AF" w:rsidRPr="00E77BA6">
        <w:rPr>
          <w:sz w:val="20"/>
        </w:rPr>
        <w:t xml:space="preserve">iese </w:t>
      </w:r>
      <w:proofErr w:type="spellStart"/>
      <w:r w:rsidR="001B21AF" w:rsidRPr="00E77BA6">
        <w:rPr>
          <w:sz w:val="20"/>
        </w:rPr>
        <w:t>Vergemeinscha</w:t>
      </w:r>
      <w:r w:rsidR="001B21AF" w:rsidRPr="00E77BA6">
        <w:rPr>
          <w:sz w:val="20"/>
        </w:rPr>
        <w:t>f</w:t>
      </w:r>
      <w:r w:rsidR="001B21AF" w:rsidRPr="00E77BA6">
        <w:rPr>
          <w:sz w:val="20"/>
        </w:rPr>
        <w:t>tung</w:t>
      </w:r>
      <w:proofErr w:type="spellEnd"/>
      <w:r w:rsidR="001B21AF" w:rsidRPr="00E77BA6">
        <w:rPr>
          <w:sz w:val="20"/>
        </w:rPr>
        <w:t xml:space="preserve"> des Glaubens </w:t>
      </w:r>
      <w:r w:rsidRPr="00E77BA6">
        <w:rPr>
          <w:sz w:val="20"/>
        </w:rPr>
        <w:t xml:space="preserve">ist </w:t>
      </w:r>
      <w:r w:rsidR="001B21AF" w:rsidRPr="00E77BA6">
        <w:rPr>
          <w:sz w:val="20"/>
        </w:rPr>
        <w:t xml:space="preserve">ein </w:t>
      </w:r>
      <w:r w:rsidR="001B21AF" w:rsidRPr="00E77BA6">
        <w:rPr>
          <w:b/>
          <w:sz w:val="20"/>
        </w:rPr>
        <w:t>Ort von höchster Bedeutung</w:t>
      </w:r>
      <w:r w:rsidR="001B21AF" w:rsidRPr="00E77BA6">
        <w:rPr>
          <w:sz w:val="20"/>
        </w:rPr>
        <w:t xml:space="preserve"> und Wichtigkeit. Hier kann ja der Glaube entstehen und genährt und gefördert werden. Es geht </w:t>
      </w:r>
      <w:r w:rsidR="003E1F47">
        <w:rPr>
          <w:sz w:val="20"/>
        </w:rPr>
        <w:t xml:space="preserve">also </w:t>
      </w:r>
      <w:r w:rsidR="001B21AF" w:rsidRPr="00E77BA6">
        <w:rPr>
          <w:sz w:val="20"/>
        </w:rPr>
        <w:t>darum, Menschen im Glauben zu b</w:t>
      </w:r>
      <w:r w:rsidR="001B21AF" w:rsidRPr="00E77BA6">
        <w:rPr>
          <w:sz w:val="20"/>
        </w:rPr>
        <w:t>e</w:t>
      </w:r>
      <w:r w:rsidR="001B21AF" w:rsidRPr="00E77BA6">
        <w:rPr>
          <w:sz w:val="20"/>
        </w:rPr>
        <w:t>heimaten und da</w:t>
      </w:r>
      <w:r w:rsidR="001B21AF" w:rsidRPr="00E77BA6">
        <w:rPr>
          <w:sz w:val="20"/>
        </w:rPr>
        <w:t>r</w:t>
      </w:r>
      <w:r w:rsidR="001B21AF" w:rsidRPr="00E77BA6">
        <w:rPr>
          <w:sz w:val="20"/>
        </w:rPr>
        <w:t>um auch an den verlässlichen Orten</w:t>
      </w:r>
      <w:r w:rsidR="003E1F47">
        <w:rPr>
          <w:sz w:val="20"/>
        </w:rPr>
        <w:t xml:space="preserve"> zu bringen</w:t>
      </w:r>
      <w:r w:rsidR="001B21AF" w:rsidRPr="00E77BA6">
        <w:rPr>
          <w:sz w:val="20"/>
        </w:rPr>
        <w:t xml:space="preserve">, an denen wir die Erfahrung gemacht haben, dass Glaube, Liebe und Hoffnung hier erstehen und wachsen können, </w:t>
      </w:r>
      <w:r w:rsidR="00796B6B">
        <w:rPr>
          <w:sz w:val="20"/>
        </w:rPr>
        <w:t>nämlich</w:t>
      </w:r>
      <w:r w:rsidR="001B21AF" w:rsidRPr="00E77BA6">
        <w:rPr>
          <w:sz w:val="20"/>
        </w:rPr>
        <w:t xml:space="preserve"> in gemeindlichen Lebensformen. Es geht darum, dass Menschen die Grenze überschreiten, vom Nicht-Verhältnis zu Gott zu einem Liebes- und Vertrauensverhäl</w:t>
      </w:r>
      <w:r w:rsidR="001B21AF" w:rsidRPr="00E77BA6">
        <w:rPr>
          <w:sz w:val="20"/>
        </w:rPr>
        <w:t>t</w:t>
      </w:r>
      <w:r w:rsidR="001B21AF" w:rsidRPr="00E77BA6">
        <w:rPr>
          <w:sz w:val="20"/>
        </w:rPr>
        <w:t>nis zu Gott. Dann aber entsteht sofort ein Beziehungsnetzwerk: Ich bekomme den himml</w:t>
      </w:r>
      <w:r w:rsidR="001B21AF" w:rsidRPr="00E77BA6">
        <w:rPr>
          <w:sz w:val="20"/>
        </w:rPr>
        <w:t>i</w:t>
      </w:r>
      <w:r w:rsidR="001B21AF" w:rsidRPr="00E77BA6">
        <w:rPr>
          <w:sz w:val="20"/>
        </w:rPr>
        <w:t>schen Vater zum Vater und zugleich jede Menge Schwestern und Brüder, und der Vater stellt uns sofort auch an die Arbeit in seinem Unter</w:t>
      </w:r>
      <w:r w:rsidR="009B17A7">
        <w:rPr>
          <w:sz w:val="20"/>
        </w:rPr>
        <w:t xml:space="preserve">nehmen zur Versöhnung der Welt. </w:t>
      </w:r>
      <w:r w:rsidR="001B21AF" w:rsidRPr="00E77BA6">
        <w:rPr>
          <w:sz w:val="20"/>
        </w:rPr>
        <w:t>Evang</w:t>
      </w:r>
      <w:r w:rsidR="001B21AF" w:rsidRPr="00E77BA6">
        <w:rPr>
          <w:sz w:val="20"/>
        </w:rPr>
        <w:t>e</w:t>
      </w:r>
      <w:r w:rsidR="001B21AF" w:rsidRPr="00E77BA6">
        <w:rPr>
          <w:sz w:val="20"/>
        </w:rPr>
        <w:t>lium</w:t>
      </w:r>
      <w:r w:rsidR="009B17A7">
        <w:rPr>
          <w:sz w:val="20"/>
        </w:rPr>
        <w:t xml:space="preserve"> – </w:t>
      </w:r>
      <w:r w:rsidR="001B21AF" w:rsidRPr="00E77BA6">
        <w:rPr>
          <w:sz w:val="20"/>
        </w:rPr>
        <w:t>Glaube</w:t>
      </w:r>
      <w:r w:rsidR="009B17A7">
        <w:rPr>
          <w:sz w:val="20"/>
        </w:rPr>
        <w:t xml:space="preserve"> – </w:t>
      </w:r>
      <w:r w:rsidR="001B21AF" w:rsidRPr="00E77BA6">
        <w:rPr>
          <w:sz w:val="20"/>
        </w:rPr>
        <w:t>Gemeinschaft</w:t>
      </w:r>
      <w:r w:rsidR="009B17A7">
        <w:rPr>
          <w:sz w:val="20"/>
        </w:rPr>
        <w:t xml:space="preserve"> – </w:t>
      </w:r>
      <w:r w:rsidR="001B21AF" w:rsidRPr="00E77BA6">
        <w:rPr>
          <w:sz w:val="20"/>
        </w:rPr>
        <w:t>Dienst</w:t>
      </w:r>
      <w:r w:rsidR="009B17A7">
        <w:rPr>
          <w:sz w:val="20"/>
        </w:rPr>
        <w:t>, das sind die Kernbegriffe</w:t>
      </w:r>
      <w:r w:rsidR="001B21AF" w:rsidRPr="00E77BA6">
        <w:rPr>
          <w:sz w:val="20"/>
        </w:rPr>
        <w:t xml:space="preserve">. </w:t>
      </w:r>
    </w:p>
    <w:p w:rsidR="009047A0" w:rsidRDefault="001B21AF" w:rsidP="00E77BA6">
      <w:r w:rsidRPr="00765C6B">
        <w:t>Wie g</w:t>
      </w:r>
      <w:r w:rsidRPr="00765C6B">
        <w:t>e</w:t>
      </w:r>
      <w:r w:rsidRPr="00765C6B">
        <w:t>stalten wir das Nötige, also diesen sichtbaren Rand der unsichtbaren Kirche, wie entwickeln wir gesunde Gemeinden, in der Hoffnung, dass sie in jeder Hinsicht wachsen können? Wie tun wir das Nöt</w:t>
      </w:r>
      <w:r w:rsidRPr="00765C6B">
        <w:t>i</w:t>
      </w:r>
      <w:r w:rsidRPr="00765C6B">
        <w:t>ge, dass wir uns mit anderen Menschen an verheißung</w:t>
      </w:r>
      <w:r w:rsidRPr="00765C6B">
        <w:t>s</w:t>
      </w:r>
      <w:r w:rsidRPr="00765C6B">
        <w:t>vollen Orten einfinden? Und dann, wenn wir das Nötige getan haben, werden wir wissen, dass nur Gott selbst das Hinreichende tun kann, dann ist G</w:t>
      </w:r>
      <w:r w:rsidRPr="00765C6B">
        <w:t>e</w:t>
      </w:r>
      <w:r w:rsidRPr="00765C6B">
        <w:t>meindeaufbau Gebet und Erwartung, dass Verheißungen sich erfüllen und in äußerlich-leiblicher G</w:t>
      </w:r>
      <w:r w:rsidRPr="00765C6B">
        <w:t>e</w:t>
      </w:r>
      <w:r w:rsidRPr="00765C6B">
        <w:t xml:space="preserve">meinschaft tatsächlich lebendige Kirche </w:t>
      </w:r>
      <w:proofErr w:type="spellStart"/>
      <w:r w:rsidRPr="00765C6B">
        <w:t>e</w:t>
      </w:r>
      <w:r w:rsidRPr="00765C6B">
        <w:t>r</w:t>
      </w:r>
      <w:r w:rsidRPr="00765C6B">
        <w:t>wächst</w:t>
      </w:r>
      <w:proofErr w:type="spellEnd"/>
      <w:r w:rsidRPr="00765C6B">
        <w:t>.</w:t>
      </w:r>
    </w:p>
    <w:p w:rsidR="009047A0" w:rsidRDefault="009047A0" w:rsidP="00E77BA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FFFFFF"/>
        <w:tblLook w:val="00BF"/>
      </w:tblPr>
      <w:tblGrid>
        <w:gridCol w:w="5616"/>
        <w:gridCol w:w="3898"/>
      </w:tblGrid>
      <w:tr w:rsidR="009047A0" w:rsidTr="009047A0">
        <w:trPr>
          <w:cnfStyle w:val="100000000000"/>
        </w:trPr>
        <w:tc>
          <w:tcPr>
            <w:cnfStyle w:val="001000000000"/>
            <w:tcW w:w="4719" w:type="dxa"/>
            <w:tcBorders>
              <w:right w:val="none" w:sz="0" w:space="0" w:color="auto"/>
            </w:tcBorders>
            <w:shd w:val="clear" w:color="C0C0C0" w:fill="FFFFFF"/>
          </w:tcPr>
          <w:p w:rsidR="009047A0" w:rsidRDefault="009047A0" w:rsidP="00E77BA6">
            <w:r w:rsidRPr="003C5B1D">
              <w:drawing>
                <wp:inline distT="0" distB="0" distL="0" distR="0">
                  <wp:extent cx="3398439" cy="2547502"/>
                  <wp:effectExtent l="25400" t="0" r="5161" b="0"/>
                  <wp:docPr id="4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3402150" cy="2550284"/>
                          </a:xfrm>
                          <a:prstGeom prst="rect">
                            <a:avLst/>
                          </a:prstGeom>
                          <a:noFill/>
                          <a:ln w="9525">
                            <a:noFill/>
                            <a:miter lim="800000"/>
                            <a:headEnd/>
                            <a:tailEnd/>
                          </a:ln>
                        </pic:spPr>
                      </pic:pic>
                    </a:graphicData>
                  </a:graphic>
                </wp:inline>
              </w:drawing>
            </w:r>
          </w:p>
        </w:tc>
        <w:tc>
          <w:tcPr>
            <w:tcW w:w="4719" w:type="dxa"/>
            <w:shd w:val="clear" w:color="C0C0C0" w:fill="FFFFFF"/>
          </w:tcPr>
          <w:p w:rsidR="009047A0" w:rsidRDefault="009047A0" w:rsidP="009047A0">
            <w:pPr>
              <w:ind w:left="284"/>
              <w:cnfStyle w:val="100000000000"/>
              <w:rPr>
                <w:b w:val="0"/>
                <w:i/>
                <w:sz w:val="22"/>
              </w:rPr>
            </w:pPr>
          </w:p>
          <w:p w:rsidR="009047A0" w:rsidRDefault="009047A0" w:rsidP="009047A0">
            <w:pPr>
              <w:ind w:left="284"/>
              <w:cnfStyle w:val="100000000000"/>
              <w:rPr>
                <w:b w:val="0"/>
                <w:i/>
                <w:sz w:val="22"/>
              </w:rPr>
            </w:pPr>
            <w:r w:rsidRPr="009047A0">
              <w:rPr>
                <w:b w:val="0"/>
                <w:i/>
                <w:sz w:val="22"/>
              </w:rPr>
              <w:t xml:space="preserve">„Take </w:t>
            </w:r>
            <w:proofErr w:type="spellStart"/>
            <w:r w:rsidRPr="009047A0">
              <w:rPr>
                <w:b w:val="0"/>
                <w:i/>
                <w:sz w:val="22"/>
              </w:rPr>
              <w:t>any</w:t>
            </w:r>
            <w:proofErr w:type="spellEnd"/>
            <w:r w:rsidRPr="009047A0">
              <w:rPr>
                <w:b w:val="0"/>
                <w:i/>
                <w:sz w:val="22"/>
              </w:rPr>
              <w:t xml:space="preserve"> </w:t>
            </w:r>
            <w:proofErr w:type="spellStart"/>
            <w:r w:rsidRPr="009047A0">
              <w:rPr>
                <w:b w:val="0"/>
                <w:i/>
                <w:sz w:val="22"/>
              </w:rPr>
              <w:t>one</w:t>
            </w:r>
            <w:proofErr w:type="spellEnd"/>
            <w:r w:rsidRPr="009047A0">
              <w:rPr>
                <w:b w:val="0"/>
                <w:i/>
                <w:sz w:val="22"/>
              </w:rPr>
              <w:t xml:space="preserve"> </w:t>
            </w:r>
            <w:proofErr w:type="spellStart"/>
            <w:r w:rsidRPr="009047A0">
              <w:rPr>
                <w:b w:val="0"/>
                <w:i/>
                <w:sz w:val="22"/>
              </w:rPr>
              <w:t>set</w:t>
            </w:r>
            <w:proofErr w:type="spellEnd"/>
            <w:r w:rsidRPr="009047A0">
              <w:rPr>
                <w:b w:val="0"/>
                <w:i/>
                <w:sz w:val="22"/>
              </w:rPr>
              <w:t xml:space="preserve"> of </w:t>
            </w:r>
            <w:proofErr w:type="spellStart"/>
            <w:r w:rsidRPr="009047A0">
              <w:rPr>
                <w:b w:val="0"/>
                <w:i/>
                <w:sz w:val="22"/>
              </w:rPr>
              <w:t>these</w:t>
            </w:r>
            <w:proofErr w:type="spellEnd"/>
            <w:r w:rsidRPr="009047A0">
              <w:rPr>
                <w:b w:val="0"/>
                <w:i/>
                <w:sz w:val="22"/>
              </w:rPr>
              <w:t xml:space="preserve"> </w:t>
            </w:r>
            <w:proofErr w:type="spellStart"/>
            <w:r w:rsidRPr="009047A0">
              <w:rPr>
                <w:b w:val="0"/>
                <w:i/>
                <w:sz w:val="22"/>
              </w:rPr>
              <w:t>relation</w:t>
            </w:r>
            <w:r w:rsidRPr="009047A0">
              <w:rPr>
                <w:b w:val="0"/>
                <w:i/>
                <w:sz w:val="22"/>
              </w:rPr>
              <w:t>s</w:t>
            </w:r>
            <w:r w:rsidRPr="009047A0">
              <w:rPr>
                <w:b w:val="0"/>
                <w:i/>
                <w:sz w:val="22"/>
              </w:rPr>
              <w:t>hips</w:t>
            </w:r>
            <w:proofErr w:type="spellEnd"/>
            <w:r w:rsidRPr="009047A0">
              <w:rPr>
                <w:b w:val="0"/>
                <w:i/>
                <w:sz w:val="22"/>
              </w:rPr>
              <w:t xml:space="preserve"> </w:t>
            </w:r>
            <w:proofErr w:type="spellStart"/>
            <w:r w:rsidRPr="009047A0">
              <w:rPr>
                <w:b w:val="0"/>
                <w:i/>
                <w:sz w:val="22"/>
              </w:rPr>
              <w:t>away</w:t>
            </w:r>
            <w:proofErr w:type="spellEnd"/>
            <w:r w:rsidRPr="009047A0">
              <w:rPr>
                <w:b w:val="0"/>
                <w:i/>
                <w:sz w:val="22"/>
              </w:rPr>
              <w:t xml:space="preserve">, and </w:t>
            </w:r>
            <w:proofErr w:type="spellStart"/>
            <w:r w:rsidRPr="009047A0">
              <w:rPr>
                <w:b w:val="0"/>
                <w:i/>
                <w:sz w:val="22"/>
              </w:rPr>
              <w:t>church</w:t>
            </w:r>
            <w:proofErr w:type="spellEnd"/>
            <w:r w:rsidRPr="009047A0">
              <w:rPr>
                <w:b w:val="0"/>
                <w:i/>
                <w:sz w:val="22"/>
              </w:rPr>
              <w:t xml:space="preserve"> </w:t>
            </w:r>
            <w:proofErr w:type="spellStart"/>
            <w:r w:rsidRPr="009047A0">
              <w:rPr>
                <w:b w:val="0"/>
                <w:i/>
                <w:sz w:val="22"/>
              </w:rPr>
              <w:t>would</w:t>
            </w:r>
            <w:proofErr w:type="spellEnd"/>
            <w:r w:rsidRPr="009047A0">
              <w:rPr>
                <w:b w:val="0"/>
                <w:i/>
                <w:sz w:val="22"/>
              </w:rPr>
              <w:t xml:space="preserve"> </w:t>
            </w:r>
            <w:proofErr w:type="spellStart"/>
            <w:r w:rsidRPr="009047A0">
              <w:rPr>
                <w:b w:val="0"/>
                <w:i/>
                <w:sz w:val="22"/>
              </w:rPr>
              <w:t>be</w:t>
            </w:r>
            <w:proofErr w:type="spellEnd"/>
            <w:r w:rsidRPr="009047A0">
              <w:rPr>
                <w:b w:val="0"/>
                <w:i/>
                <w:sz w:val="22"/>
              </w:rPr>
              <w:t xml:space="preserve"> </w:t>
            </w:r>
            <w:proofErr w:type="spellStart"/>
            <w:r w:rsidRPr="009047A0">
              <w:rPr>
                <w:b w:val="0"/>
                <w:i/>
                <w:sz w:val="22"/>
              </w:rPr>
              <w:t>less</w:t>
            </w:r>
            <w:proofErr w:type="spellEnd"/>
            <w:r w:rsidRPr="009047A0">
              <w:rPr>
                <w:b w:val="0"/>
                <w:i/>
                <w:sz w:val="22"/>
              </w:rPr>
              <w:t xml:space="preserve"> </w:t>
            </w:r>
            <w:proofErr w:type="spellStart"/>
            <w:r w:rsidRPr="009047A0">
              <w:rPr>
                <w:b w:val="0"/>
                <w:i/>
                <w:sz w:val="22"/>
              </w:rPr>
              <w:t>then</w:t>
            </w:r>
            <w:proofErr w:type="spellEnd"/>
            <w:r w:rsidRPr="009047A0">
              <w:rPr>
                <w:b w:val="0"/>
                <w:i/>
                <w:sz w:val="22"/>
              </w:rPr>
              <w:t xml:space="preserve"> </w:t>
            </w:r>
            <w:proofErr w:type="spellStart"/>
            <w:r w:rsidRPr="009047A0">
              <w:rPr>
                <w:b w:val="0"/>
                <w:i/>
                <w:sz w:val="22"/>
              </w:rPr>
              <w:t>fully</w:t>
            </w:r>
            <w:proofErr w:type="spellEnd"/>
            <w:r w:rsidRPr="009047A0">
              <w:rPr>
                <w:b w:val="0"/>
                <w:i/>
                <w:sz w:val="22"/>
              </w:rPr>
              <w:t xml:space="preserve"> </w:t>
            </w:r>
            <w:proofErr w:type="spellStart"/>
            <w:r w:rsidRPr="009047A0">
              <w:rPr>
                <w:b w:val="0"/>
                <w:i/>
                <w:sz w:val="22"/>
              </w:rPr>
              <w:t>church</w:t>
            </w:r>
            <w:proofErr w:type="spellEnd"/>
            <w:r w:rsidRPr="009047A0">
              <w:rPr>
                <w:b w:val="0"/>
                <w:i/>
                <w:sz w:val="22"/>
              </w:rPr>
              <w:t>.“</w:t>
            </w:r>
            <w:r w:rsidRPr="009047A0">
              <w:rPr>
                <w:rStyle w:val="Funotenzeichen"/>
                <w:b w:val="0"/>
                <w:i/>
                <w:sz w:val="22"/>
              </w:rPr>
              <w:footnoteReference w:id="25"/>
            </w:r>
          </w:p>
          <w:p w:rsidR="009047A0" w:rsidRPr="009047A0" w:rsidRDefault="009047A0" w:rsidP="009047A0">
            <w:pPr>
              <w:ind w:left="284"/>
              <w:cnfStyle w:val="100000000000"/>
              <w:rPr>
                <w:b w:val="0"/>
                <w:i/>
                <w:sz w:val="22"/>
              </w:rPr>
            </w:pPr>
          </w:p>
          <w:p w:rsidR="009047A0" w:rsidRPr="009047A0" w:rsidRDefault="009047A0" w:rsidP="009047A0">
            <w:pPr>
              <w:ind w:left="284"/>
              <w:cnfStyle w:val="100000000000"/>
              <w:rPr>
                <w:b w:val="0"/>
                <w:i/>
                <w:sz w:val="22"/>
              </w:rPr>
            </w:pPr>
            <w:r w:rsidRPr="009047A0">
              <w:rPr>
                <w:b w:val="0"/>
                <w:i/>
                <w:sz w:val="22"/>
              </w:rPr>
              <w:t xml:space="preserve">„Jesus </w:t>
            </w:r>
            <w:proofErr w:type="spellStart"/>
            <w:r w:rsidRPr="009047A0">
              <w:rPr>
                <w:b w:val="0"/>
                <w:i/>
                <w:sz w:val="22"/>
              </w:rPr>
              <w:t>is</w:t>
            </w:r>
            <w:proofErr w:type="spellEnd"/>
            <w:r w:rsidRPr="009047A0">
              <w:rPr>
                <w:b w:val="0"/>
                <w:i/>
                <w:sz w:val="22"/>
              </w:rPr>
              <w:t xml:space="preserve"> </w:t>
            </w:r>
            <w:proofErr w:type="spellStart"/>
            <w:r w:rsidRPr="009047A0">
              <w:rPr>
                <w:b w:val="0"/>
                <w:i/>
                <w:sz w:val="22"/>
              </w:rPr>
              <w:t>the</w:t>
            </w:r>
            <w:proofErr w:type="spellEnd"/>
            <w:r w:rsidRPr="009047A0">
              <w:rPr>
                <w:b w:val="0"/>
                <w:i/>
                <w:sz w:val="22"/>
              </w:rPr>
              <w:t xml:space="preserve"> hub </w:t>
            </w:r>
            <w:proofErr w:type="spellStart"/>
            <w:r w:rsidRPr="009047A0">
              <w:rPr>
                <w:b w:val="0"/>
                <w:i/>
                <w:sz w:val="22"/>
              </w:rPr>
              <w:t>round</w:t>
            </w:r>
            <w:proofErr w:type="spellEnd"/>
            <w:r w:rsidRPr="009047A0">
              <w:rPr>
                <w:b w:val="0"/>
                <w:i/>
                <w:sz w:val="22"/>
              </w:rPr>
              <w:t xml:space="preserve"> </w:t>
            </w:r>
            <w:proofErr w:type="spellStart"/>
            <w:r w:rsidRPr="009047A0">
              <w:rPr>
                <w:b w:val="0"/>
                <w:i/>
                <w:sz w:val="22"/>
              </w:rPr>
              <w:t>which</w:t>
            </w:r>
            <w:proofErr w:type="spellEnd"/>
            <w:r w:rsidRPr="009047A0">
              <w:rPr>
                <w:b w:val="0"/>
                <w:i/>
                <w:sz w:val="22"/>
              </w:rPr>
              <w:t xml:space="preserve"> </w:t>
            </w:r>
            <w:proofErr w:type="spellStart"/>
            <w:r w:rsidRPr="009047A0">
              <w:rPr>
                <w:b w:val="0"/>
                <w:i/>
                <w:sz w:val="22"/>
              </w:rPr>
              <w:t>th</w:t>
            </w:r>
            <w:r w:rsidRPr="009047A0">
              <w:rPr>
                <w:b w:val="0"/>
                <w:i/>
                <w:sz w:val="22"/>
              </w:rPr>
              <w:t>e</w:t>
            </w:r>
            <w:r w:rsidRPr="009047A0">
              <w:rPr>
                <w:b w:val="0"/>
                <w:i/>
                <w:sz w:val="22"/>
              </w:rPr>
              <w:t>se</w:t>
            </w:r>
            <w:proofErr w:type="spellEnd"/>
            <w:r w:rsidRPr="009047A0">
              <w:rPr>
                <w:b w:val="0"/>
                <w:i/>
                <w:sz w:val="22"/>
              </w:rPr>
              <w:t xml:space="preserve"> </w:t>
            </w:r>
            <w:proofErr w:type="spellStart"/>
            <w:r w:rsidRPr="009047A0">
              <w:rPr>
                <w:b w:val="0"/>
                <w:i/>
                <w:sz w:val="22"/>
              </w:rPr>
              <w:t>relationships</w:t>
            </w:r>
            <w:proofErr w:type="spellEnd"/>
            <w:r w:rsidRPr="009047A0">
              <w:rPr>
                <w:b w:val="0"/>
                <w:i/>
                <w:sz w:val="22"/>
              </w:rPr>
              <w:t xml:space="preserve"> </w:t>
            </w:r>
            <w:proofErr w:type="spellStart"/>
            <w:r w:rsidRPr="009047A0">
              <w:rPr>
                <w:b w:val="0"/>
                <w:i/>
                <w:sz w:val="22"/>
              </w:rPr>
              <w:t>happen</w:t>
            </w:r>
            <w:proofErr w:type="spellEnd"/>
            <w:r w:rsidRPr="009047A0">
              <w:rPr>
                <w:b w:val="0"/>
                <w:i/>
                <w:sz w:val="22"/>
              </w:rPr>
              <w:t>.“</w:t>
            </w:r>
            <w:r w:rsidRPr="009047A0">
              <w:rPr>
                <w:rStyle w:val="Funotenzeichen"/>
                <w:b w:val="0"/>
                <w:i/>
                <w:sz w:val="22"/>
              </w:rPr>
              <w:footnoteReference w:id="26"/>
            </w:r>
            <w:r w:rsidRPr="009047A0">
              <w:rPr>
                <w:b w:val="0"/>
                <w:i/>
                <w:sz w:val="22"/>
              </w:rPr>
              <w:t xml:space="preserve"> </w:t>
            </w:r>
          </w:p>
          <w:p w:rsidR="009047A0" w:rsidRPr="009047A0" w:rsidRDefault="009047A0" w:rsidP="009047A0">
            <w:pPr>
              <w:ind w:left="284"/>
              <w:cnfStyle w:val="100000000000"/>
              <w:rPr>
                <w:b w:val="0"/>
                <w:i/>
                <w:sz w:val="22"/>
              </w:rPr>
            </w:pPr>
          </w:p>
        </w:tc>
      </w:tr>
    </w:tbl>
    <w:p w:rsidR="003C5B1D" w:rsidRPr="00BC7C72" w:rsidRDefault="00C267F5" w:rsidP="00BC7C72">
      <w:r>
        <w:t xml:space="preserve">Aus </w:t>
      </w:r>
      <w:r w:rsidR="003C5B1D" w:rsidRPr="003C5B1D">
        <w:t>der anglikanischen Kirchentheorie</w:t>
      </w:r>
      <w:r w:rsidR="00C940A6">
        <w:t xml:space="preserve"> (und dem </w:t>
      </w:r>
      <w:proofErr w:type="spellStart"/>
      <w:r w:rsidR="00C940A6">
        <w:t>Nicänum</w:t>
      </w:r>
      <w:proofErr w:type="spellEnd"/>
      <w:r w:rsidR="00C940A6">
        <w:t>)</w:t>
      </w:r>
      <w:r w:rsidR="003C5B1D" w:rsidRPr="003C5B1D">
        <w:t xml:space="preserve"> lernen wir:</w:t>
      </w:r>
      <w:r w:rsidR="003C5B1D" w:rsidRPr="003C5B1D">
        <w:rPr>
          <w:rStyle w:val="Funotenzeichen"/>
        </w:rPr>
        <w:footnoteReference w:id="27"/>
      </w:r>
      <w:r w:rsidR="003C5B1D" w:rsidRPr="003C5B1D">
        <w:t xml:space="preserve"> Die </w:t>
      </w:r>
      <w:r w:rsidR="003C5B1D" w:rsidRPr="003C5B1D">
        <w:rPr>
          <w:b/>
        </w:rPr>
        <w:t>Gemeinde Jesu existiert in einer vierfachen Relationalität</w:t>
      </w:r>
      <w:r w:rsidR="003C5B1D">
        <w:t xml:space="preserve">; </w:t>
      </w:r>
      <w:r w:rsidR="005C77F7">
        <w:t xml:space="preserve">sie existiert „beziehungsweise“: </w:t>
      </w:r>
      <w:r w:rsidR="003C5B1D">
        <w:t>Es geht um die Beziehung zum dreie</w:t>
      </w:r>
      <w:r w:rsidR="003C5B1D">
        <w:t>i</w:t>
      </w:r>
      <w:r w:rsidR="003C5B1D">
        <w:t>nigen Gott (up), zu einander als verbindlicher Gemeinschaft (in), zu unserer je kleinen oder großen Welt (out) und zu unserer größeren kirchl</w:t>
      </w:r>
      <w:r w:rsidR="003C5B1D">
        <w:t>i</w:t>
      </w:r>
      <w:r w:rsidR="003C5B1D">
        <w:t xml:space="preserve">chen Gemeinschaft (of). </w:t>
      </w:r>
      <w:r w:rsidR="00BC7C72">
        <w:t>Das heißt:</w:t>
      </w:r>
    </w:p>
    <w:p w:rsidR="001B21AF" w:rsidRPr="00BC7C72" w:rsidRDefault="001B21AF" w:rsidP="001B21AF">
      <w:pPr>
        <w:pStyle w:val="Listenabsatz"/>
        <w:numPr>
          <w:ilvl w:val="0"/>
          <w:numId w:val="25"/>
        </w:numPr>
        <w:spacing w:after="200"/>
      </w:pPr>
      <w:r w:rsidRPr="00BC7C72">
        <w:t xml:space="preserve">Gemeinde sind immer die, die in einer lebendigen, </w:t>
      </w:r>
      <w:proofErr w:type="spellStart"/>
      <w:r w:rsidRPr="00BC7C72">
        <w:t>transformatorischen</w:t>
      </w:r>
      <w:proofErr w:type="spellEnd"/>
      <w:r w:rsidRPr="00BC7C72">
        <w:t xml:space="preserve"> </w:t>
      </w:r>
      <w:r w:rsidRPr="00BC7C72">
        <w:rPr>
          <w:b/>
        </w:rPr>
        <w:t>Beziehung zu Gott</w:t>
      </w:r>
      <w:r w:rsidRPr="00BC7C72">
        <w:t xml:space="preserve"> ex</w:t>
      </w:r>
      <w:r w:rsidRPr="00BC7C72">
        <w:t>i</w:t>
      </w:r>
      <w:r w:rsidRPr="00BC7C72">
        <w:t>stieren</w:t>
      </w:r>
      <w:r w:rsidR="00D241F4">
        <w:t>.</w:t>
      </w:r>
      <w:r w:rsidRPr="00BC7C72">
        <w:t>, die also an den geistlichen Kommunikationen teilhaben, an Gebet und Bibel, an Go</w:t>
      </w:r>
      <w:r w:rsidRPr="00BC7C72">
        <w:t>t</w:t>
      </w:r>
      <w:r w:rsidRPr="00BC7C72">
        <w:t xml:space="preserve">tesdienst als Hören, Feiern, Anbeten und </w:t>
      </w:r>
      <w:proofErr w:type="spellStart"/>
      <w:r w:rsidRPr="00BC7C72">
        <w:t>Sich-senden-Lassen</w:t>
      </w:r>
      <w:proofErr w:type="spellEnd"/>
      <w:r w:rsidRPr="00BC7C72">
        <w:t>.</w:t>
      </w:r>
    </w:p>
    <w:p w:rsidR="001B21AF" w:rsidRDefault="001B21AF" w:rsidP="001B21AF">
      <w:pPr>
        <w:pStyle w:val="Listenabsatz"/>
        <w:numPr>
          <w:ilvl w:val="0"/>
          <w:numId w:val="25"/>
        </w:numPr>
        <w:spacing w:after="200"/>
      </w:pPr>
      <w:r w:rsidRPr="00BC7C72">
        <w:t xml:space="preserve">Gemeinde ist immer </w:t>
      </w:r>
      <w:r w:rsidR="00534DB4">
        <w:t xml:space="preserve">auf </w:t>
      </w:r>
      <w:r w:rsidRPr="00BC7C72">
        <w:t xml:space="preserve">eine das Leben formende und durchdringende </w:t>
      </w:r>
      <w:r w:rsidRPr="00BC7C72">
        <w:rPr>
          <w:b/>
        </w:rPr>
        <w:t>Gemeinschaft</w:t>
      </w:r>
      <w:r w:rsidRPr="00BC7C72">
        <w:t xml:space="preserve"> angelegt.</w:t>
      </w:r>
      <w:r>
        <w:t xml:space="preserve"> A</w:t>
      </w:r>
      <w:r>
        <w:t>l</w:t>
      </w:r>
      <w:r>
        <w:t>le biblischen Begriffe weisen in diese Richtung: Wir sind Leib mit vielen Gliedern, Weinstock mit vielen Reben, Haus der lebendigen Steine, Familie Gottes, Volk Gottes, Schwestern und Brüder.</w:t>
      </w:r>
    </w:p>
    <w:p w:rsidR="001B21AF" w:rsidRDefault="001B21AF" w:rsidP="001B21AF">
      <w:pPr>
        <w:pStyle w:val="Listenabsatz"/>
        <w:numPr>
          <w:ilvl w:val="0"/>
          <w:numId w:val="25"/>
        </w:numPr>
        <w:spacing w:after="200"/>
      </w:pPr>
      <w:r w:rsidRPr="00D241F4">
        <w:t xml:space="preserve">Gemeinde ist zugleich immer </w:t>
      </w:r>
      <w:r w:rsidRPr="00D241F4">
        <w:rPr>
          <w:b/>
        </w:rPr>
        <w:t>außenbezogen</w:t>
      </w:r>
      <w:r w:rsidRPr="00D241F4">
        <w:t>, kein Verein, der nur für sich selbst da ist, so</w:t>
      </w:r>
      <w:r w:rsidRPr="00D241F4">
        <w:t>n</w:t>
      </w:r>
      <w:r w:rsidRPr="00D241F4">
        <w:t>dern</w:t>
      </w:r>
      <w:r>
        <w:t xml:space="preserve"> in die Welt gesandt, mit dem eigenen Kontext auf das Engste verwoben, für andere da, Zeugin und Botin des Evangeliums, Vorschein des kommenden Re</w:t>
      </w:r>
      <w:r>
        <w:t>i</w:t>
      </w:r>
      <w:r>
        <w:t>ches, gesandt zu predigen und zu dienen.</w:t>
      </w:r>
    </w:p>
    <w:p w:rsidR="001B21AF" w:rsidRDefault="001B21AF" w:rsidP="001B21AF">
      <w:pPr>
        <w:pStyle w:val="Listenabsatz"/>
        <w:numPr>
          <w:ilvl w:val="0"/>
          <w:numId w:val="25"/>
        </w:numPr>
        <w:spacing w:after="200"/>
      </w:pPr>
      <w:r w:rsidRPr="00FD7949">
        <w:t xml:space="preserve">Und Gemeinde ist immer </w:t>
      </w:r>
      <w:r w:rsidRPr="00FD7949">
        <w:rPr>
          <w:b/>
        </w:rPr>
        <w:t>eingebunden</w:t>
      </w:r>
      <w:r w:rsidRPr="00FD7949">
        <w:t xml:space="preserve"> in den größeren Zusammenhang der Kirche Jesu, ang</w:t>
      </w:r>
      <w:r w:rsidRPr="00FD7949">
        <w:t>e</w:t>
      </w:r>
      <w:r>
        <w:t>wiesen auf Hilfe und Korrektur, selbst nicht gleichgültig, wie es den and</w:t>
      </w:r>
      <w:r>
        <w:t>e</w:t>
      </w:r>
      <w:r>
        <w:t>ren Teilen des Leibes geht, immer auch in einer bestimmten Tradition verwurzelt, rechenschaftspflichtig und unte</w:t>
      </w:r>
      <w:r>
        <w:t>r</w:t>
      </w:r>
      <w:r>
        <w:t>stützungsberechtigt.</w:t>
      </w:r>
    </w:p>
    <w:p w:rsidR="001B21AF" w:rsidRDefault="001B21AF" w:rsidP="00E867C3">
      <w:pPr>
        <w:pStyle w:val="berschrift3"/>
        <w:keepNext w:val="0"/>
        <w:keepLines w:val="0"/>
        <w:widowControl w:val="0"/>
      </w:pPr>
      <w:bookmarkStart w:id="19" w:name="_Toc212181148"/>
      <w:r>
        <w:t>1.3.3 Zusammenfassung</w:t>
      </w:r>
      <w:bookmarkEnd w:id="19"/>
    </w:p>
    <w:p w:rsidR="001265E3" w:rsidRDefault="001265E3" w:rsidP="0077766E">
      <w:pPr>
        <w:pStyle w:val="berschrift2"/>
      </w:pPr>
    </w:p>
    <w:p w:rsidR="001265E3" w:rsidRPr="008326C1" w:rsidRDefault="001265E3" w:rsidP="006E5F98">
      <w:pPr>
        <w:pStyle w:val="berschrift2"/>
        <w:ind w:left="284" w:hanging="284"/>
        <w:rPr>
          <w:noProof/>
          <w:sz w:val="24"/>
        </w:rPr>
      </w:pPr>
      <w:r w:rsidRPr="006E5F98">
        <w:rPr>
          <w:sz w:val="20"/>
        </w:rPr>
        <w:fldChar w:fldCharType="begin"/>
      </w:r>
      <w:r w:rsidRPr="006E5F98">
        <w:rPr>
          <w:sz w:val="20"/>
        </w:rPr>
        <w:instrText xml:space="preserve"> ADDIN EN.REFLIST </w:instrText>
      </w:r>
      <w:r w:rsidRPr="006E5F98">
        <w:rPr>
          <w:sz w:val="20"/>
        </w:rPr>
        <w:fldChar w:fldCharType="separate"/>
      </w:r>
      <w:bookmarkStart w:id="20" w:name="_Toc212181155"/>
      <w:r w:rsidRPr="008326C1">
        <w:rPr>
          <w:noProof/>
          <w:sz w:val="24"/>
        </w:rPr>
        <w:t>Literaturliste</w:t>
      </w:r>
      <w:bookmarkEnd w:id="20"/>
    </w:p>
    <w:p w:rsidR="001265E3" w:rsidRPr="006E5F98" w:rsidRDefault="001265E3" w:rsidP="006E5F98">
      <w:pPr>
        <w:spacing w:after="0" w:line="240" w:lineRule="auto"/>
        <w:ind w:left="284" w:hanging="284"/>
        <w:rPr>
          <w:noProof/>
          <w:sz w:val="20"/>
        </w:rPr>
      </w:pPr>
      <w:r w:rsidRPr="006E5F98">
        <w:rPr>
          <w:noProof/>
          <w:sz w:val="20"/>
        </w:rPr>
        <w:t xml:space="preserve">Bärend, Hartmut: </w:t>
      </w:r>
      <w:r w:rsidRPr="006E5F98">
        <w:rPr>
          <w:i/>
          <w:noProof/>
          <w:sz w:val="20"/>
        </w:rPr>
        <w:t>Wie der Blick zurück die Gemeinde nach vorn bringen kann. Ein Gang durch die Geschichte der kirchlichen Volksmission</w:t>
      </w:r>
      <w:r w:rsidRPr="006E5F98">
        <w:rPr>
          <w:noProof/>
          <w:sz w:val="20"/>
        </w:rPr>
        <w:t xml:space="preserve">. Neukirchen-Vluyn 2011 (BEG-Praxis) </w:t>
      </w:r>
    </w:p>
    <w:p w:rsidR="001265E3" w:rsidRPr="006E5F98" w:rsidRDefault="001265E3" w:rsidP="006E5F98">
      <w:pPr>
        <w:spacing w:after="0" w:line="240" w:lineRule="auto"/>
        <w:ind w:left="284" w:hanging="284"/>
        <w:rPr>
          <w:noProof/>
          <w:sz w:val="20"/>
        </w:rPr>
      </w:pPr>
      <w:r w:rsidRPr="006E5F98">
        <w:rPr>
          <w:noProof/>
          <w:sz w:val="20"/>
        </w:rPr>
        <w:t xml:space="preserve">Böhlemann, Peter: </w:t>
      </w:r>
      <w:r w:rsidRPr="006E5F98">
        <w:rPr>
          <w:i/>
          <w:noProof/>
          <w:sz w:val="20"/>
        </w:rPr>
        <w:t>Wie die Kirche wachsen kann und was sie davon abhält</w:t>
      </w:r>
      <w:r w:rsidRPr="006E5F98">
        <w:rPr>
          <w:noProof/>
          <w:sz w:val="20"/>
        </w:rPr>
        <w:t xml:space="preserve">. Göttingen 2. Aufl. 2009 </w:t>
      </w:r>
    </w:p>
    <w:p w:rsidR="001265E3" w:rsidRPr="006E5F98" w:rsidRDefault="001265E3" w:rsidP="006E5F98">
      <w:pPr>
        <w:spacing w:after="0" w:line="240" w:lineRule="auto"/>
        <w:ind w:left="284" w:hanging="284"/>
        <w:rPr>
          <w:noProof/>
          <w:sz w:val="20"/>
        </w:rPr>
      </w:pPr>
      <w:r w:rsidRPr="006E5F98">
        <w:rPr>
          <w:noProof/>
          <w:sz w:val="20"/>
        </w:rPr>
        <w:t xml:space="preserve">Bonhoeffer, Dietrich: </w:t>
      </w:r>
      <w:r w:rsidRPr="006E5F98">
        <w:rPr>
          <w:i/>
          <w:noProof/>
          <w:sz w:val="20"/>
        </w:rPr>
        <w:t>Gemeinsames Leben. Das Gebetbuch der Bibel</w:t>
      </w:r>
      <w:r w:rsidRPr="006E5F98">
        <w:rPr>
          <w:noProof/>
          <w:sz w:val="20"/>
        </w:rPr>
        <w:t>. München 2.,durchges. und aktualisierte Aufl.2002 (DBW Bd. 5)</w:t>
      </w:r>
    </w:p>
    <w:p w:rsidR="001265E3" w:rsidRPr="006E5F98" w:rsidRDefault="001265E3" w:rsidP="006E5F98">
      <w:pPr>
        <w:spacing w:after="0" w:line="240" w:lineRule="auto"/>
        <w:ind w:left="284" w:hanging="284"/>
        <w:rPr>
          <w:noProof/>
          <w:sz w:val="20"/>
        </w:rPr>
      </w:pPr>
      <w:r w:rsidRPr="006E5F98">
        <w:rPr>
          <w:noProof/>
          <w:sz w:val="20"/>
        </w:rPr>
        <w:t xml:space="preserve">Croft, Steven: </w:t>
      </w:r>
      <w:r w:rsidRPr="006E5F98">
        <w:rPr>
          <w:i/>
          <w:noProof/>
          <w:sz w:val="20"/>
        </w:rPr>
        <w:t>Jesus' People. What the Church should do next</w:t>
      </w:r>
      <w:r w:rsidRPr="006E5F98">
        <w:rPr>
          <w:noProof/>
          <w:sz w:val="20"/>
        </w:rPr>
        <w:t xml:space="preserve">. London 2009 </w:t>
      </w:r>
    </w:p>
    <w:p w:rsidR="001265E3" w:rsidRPr="006E5F98" w:rsidRDefault="001265E3" w:rsidP="006E5F98">
      <w:pPr>
        <w:spacing w:after="0" w:line="240" w:lineRule="auto"/>
        <w:ind w:left="284" w:hanging="284"/>
        <w:rPr>
          <w:noProof/>
          <w:sz w:val="20"/>
        </w:rPr>
      </w:pPr>
      <w:r w:rsidRPr="006E5F98">
        <w:rPr>
          <w:noProof/>
          <w:sz w:val="20"/>
        </w:rPr>
        <w:t xml:space="preserve">---: </w:t>
      </w:r>
      <w:r w:rsidRPr="006E5F98">
        <w:rPr>
          <w:i/>
          <w:noProof/>
          <w:sz w:val="20"/>
        </w:rPr>
        <w:t>Format Jesus. Unterwegs zu einer neuen Kirche</w:t>
      </w:r>
      <w:r w:rsidRPr="006E5F98">
        <w:rPr>
          <w:noProof/>
          <w:sz w:val="20"/>
        </w:rPr>
        <w:t xml:space="preserve">. Neukirchen-Vluyn 2012 (BEG-Praxis) </w:t>
      </w:r>
    </w:p>
    <w:p w:rsidR="001265E3" w:rsidRPr="006E5F98" w:rsidRDefault="001265E3" w:rsidP="006E5F98">
      <w:pPr>
        <w:spacing w:after="0" w:line="240" w:lineRule="auto"/>
        <w:ind w:left="284" w:hanging="284"/>
        <w:rPr>
          <w:noProof/>
          <w:sz w:val="20"/>
        </w:rPr>
      </w:pPr>
      <w:r w:rsidRPr="006E5F98">
        <w:rPr>
          <w:noProof/>
          <w:sz w:val="20"/>
        </w:rPr>
        <w:t xml:space="preserve">Finney, John: </w:t>
      </w:r>
      <w:r w:rsidRPr="006E5F98">
        <w:rPr>
          <w:i/>
          <w:noProof/>
          <w:sz w:val="20"/>
        </w:rPr>
        <w:t>To Germany with Love</w:t>
      </w:r>
      <w:r w:rsidRPr="006E5F98">
        <w:rPr>
          <w:noProof/>
          <w:sz w:val="20"/>
        </w:rPr>
        <w:t xml:space="preserve">. Neukirchen-Vluyn 2011 (BEG-Praxis </w:t>
      </w:r>
    </w:p>
    <w:p w:rsidR="001265E3" w:rsidRPr="006E5F98" w:rsidRDefault="001265E3" w:rsidP="006E5F98">
      <w:pPr>
        <w:spacing w:after="0" w:line="240" w:lineRule="auto"/>
        <w:ind w:left="284" w:hanging="284"/>
        <w:rPr>
          <w:noProof/>
          <w:sz w:val="20"/>
        </w:rPr>
      </w:pPr>
      <w:r w:rsidRPr="006E5F98">
        <w:rPr>
          <w:noProof/>
          <w:sz w:val="20"/>
        </w:rPr>
        <w:t xml:space="preserve">Grethlein, Christian:  </w:t>
      </w:r>
      <w:r w:rsidRPr="006E5F98">
        <w:rPr>
          <w:i/>
          <w:noProof/>
          <w:sz w:val="20"/>
        </w:rPr>
        <w:t>Kirche - als praktisch-theologischer Begriff. Überlegungen zu einer Neuformatierung der Kirchentheorie</w:t>
      </w:r>
      <w:r w:rsidRPr="006E5F98">
        <w:rPr>
          <w:noProof/>
          <w:sz w:val="20"/>
        </w:rPr>
        <w:t>. PTh 101 (2012a), 136-151</w:t>
      </w:r>
    </w:p>
    <w:p w:rsidR="001265E3" w:rsidRPr="006E5F98" w:rsidRDefault="001265E3" w:rsidP="006E5F98">
      <w:pPr>
        <w:spacing w:after="0" w:line="240" w:lineRule="auto"/>
        <w:ind w:left="284" w:hanging="284"/>
        <w:rPr>
          <w:noProof/>
          <w:sz w:val="20"/>
        </w:rPr>
      </w:pPr>
      <w:r w:rsidRPr="006E5F98">
        <w:rPr>
          <w:noProof/>
          <w:sz w:val="20"/>
        </w:rPr>
        <w:t xml:space="preserve">---: </w:t>
      </w:r>
      <w:r w:rsidRPr="006E5F98">
        <w:rPr>
          <w:i/>
          <w:noProof/>
          <w:sz w:val="20"/>
        </w:rPr>
        <w:t>Praktische Theologie</w:t>
      </w:r>
      <w:r w:rsidRPr="006E5F98">
        <w:rPr>
          <w:noProof/>
          <w:sz w:val="20"/>
        </w:rPr>
        <w:t xml:space="preserve">. Berlin und Boston 2012b </w:t>
      </w:r>
    </w:p>
    <w:p w:rsidR="001265E3" w:rsidRPr="006E5F98" w:rsidRDefault="001265E3" w:rsidP="006E5F98">
      <w:pPr>
        <w:spacing w:after="0" w:line="240" w:lineRule="auto"/>
        <w:ind w:left="284" w:hanging="284"/>
        <w:rPr>
          <w:noProof/>
          <w:sz w:val="20"/>
        </w:rPr>
      </w:pPr>
      <w:bookmarkStart w:id="21" w:name="_ENREF_11"/>
      <w:r w:rsidRPr="006E5F98">
        <w:rPr>
          <w:noProof/>
          <w:sz w:val="20"/>
        </w:rPr>
        <w:t xml:space="preserve">Herbst, Michael:  </w:t>
      </w:r>
      <w:r w:rsidRPr="006E5F98">
        <w:rPr>
          <w:i/>
          <w:noProof/>
          <w:sz w:val="20"/>
        </w:rPr>
        <w:t>Neue Gottesdienste braucht das Land</w:t>
      </w:r>
      <w:r w:rsidRPr="006E5F98">
        <w:rPr>
          <w:noProof/>
          <w:sz w:val="20"/>
        </w:rPr>
        <w:t>. BThZ 17 (2000), 155-176</w:t>
      </w:r>
      <w:bookmarkEnd w:id="21"/>
    </w:p>
    <w:p w:rsidR="001265E3" w:rsidRPr="006E5F98" w:rsidRDefault="001265E3" w:rsidP="006E5F98">
      <w:pPr>
        <w:spacing w:after="0" w:line="240" w:lineRule="auto"/>
        <w:ind w:left="284" w:hanging="284"/>
        <w:rPr>
          <w:noProof/>
          <w:sz w:val="20"/>
        </w:rPr>
      </w:pPr>
      <w:bookmarkStart w:id="22" w:name="_ENREF_12"/>
      <w:r w:rsidRPr="006E5F98">
        <w:rPr>
          <w:noProof/>
          <w:sz w:val="20"/>
        </w:rPr>
        <w:t xml:space="preserve">---: </w:t>
      </w:r>
      <w:r w:rsidRPr="006E5F98">
        <w:rPr>
          <w:i/>
          <w:noProof/>
          <w:sz w:val="20"/>
        </w:rPr>
        <w:t>Missionarischer Gemeindeaufbau in der Volkskirche</w:t>
      </w:r>
      <w:r w:rsidRPr="006E5F98">
        <w:rPr>
          <w:noProof/>
          <w:sz w:val="20"/>
        </w:rPr>
        <w:t>. Neukirchen-Vluyn 5. deutlich erweiterte Aufl.2010 (BEG Bd. 8)</w:t>
      </w:r>
      <w:bookmarkEnd w:id="22"/>
    </w:p>
    <w:p w:rsidR="001265E3" w:rsidRPr="006E5F98" w:rsidRDefault="001265E3" w:rsidP="006E5F98">
      <w:pPr>
        <w:spacing w:after="0" w:line="240" w:lineRule="auto"/>
        <w:ind w:left="284" w:hanging="284"/>
        <w:rPr>
          <w:noProof/>
          <w:sz w:val="20"/>
        </w:rPr>
      </w:pPr>
      <w:bookmarkStart w:id="23" w:name="_ENREF_13"/>
      <w:r w:rsidRPr="006E5F98">
        <w:rPr>
          <w:noProof/>
          <w:sz w:val="20"/>
        </w:rPr>
        <w:t xml:space="preserve">---: </w:t>
      </w:r>
      <w:r w:rsidRPr="006E5F98">
        <w:rPr>
          <w:i/>
          <w:noProof/>
          <w:sz w:val="20"/>
        </w:rPr>
        <w:t>Wege in die Zukunft</w:t>
      </w:r>
      <w:r w:rsidRPr="006E5F98">
        <w:rPr>
          <w:noProof/>
          <w:sz w:val="20"/>
        </w:rPr>
        <w:t xml:space="preserve">. In: Heinzpeter Hempelmann, Michael Herbst und Markus Weimer (Hg.): </w:t>
      </w:r>
      <w:r w:rsidRPr="006E5F98">
        <w:rPr>
          <w:i/>
          <w:noProof/>
          <w:sz w:val="20"/>
        </w:rPr>
        <w:t xml:space="preserve">Gemeinde 2.0. Frische Formen für die Kirche von heute. </w:t>
      </w:r>
      <w:r w:rsidRPr="006E5F98">
        <w:rPr>
          <w:noProof/>
          <w:sz w:val="20"/>
        </w:rPr>
        <w:t xml:space="preserve">Neukirchen-Vluyn 2011, (BEG-Praxis) </w:t>
      </w:r>
      <w:bookmarkEnd w:id="23"/>
    </w:p>
    <w:p w:rsidR="001265E3" w:rsidRPr="006E5F98" w:rsidRDefault="001265E3" w:rsidP="006E5F98">
      <w:pPr>
        <w:spacing w:after="0" w:line="240" w:lineRule="auto"/>
        <w:ind w:left="284" w:hanging="284"/>
        <w:rPr>
          <w:b/>
          <w:noProof/>
          <w:sz w:val="20"/>
        </w:rPr>
      </w:pPr>
      <w:bookmarkStart w:id="24" w:name="_ENREF_14"/>
      <w:r w:rsidRPr="006E5F98">
        <w:rPr>
          <w:b/>
          <w:noProof/>
          <w:sz w:val="20"/>
        </w:rPr>
        <w:t xml:space="preserve">Hermelink, Jan: </w:t>
      </w:r>
      <w:r w:rsidRPr="006E5F98">
        <w:rPr>
          <w:b/>
          <w:i/>
          <w:noProof/>
          <w:sz w:val="20"/>
        </w:rPr>
        <w:t>Kirchliche Organisation und das Jenseits des Glaubens. Eine praktisch-theologische Theorie der evangelischen Kirche</w:t>
      </w:r>
      <w:r w:rsidRPr="006E5F98">
        <w:rPr>
          <w:b/>
          <w:noProof/>
          <w:sz w:val="20"/>
        </w:rPr>
        <w:t xml:space="preserve">. Gütersloh 2011 </w:t>
      </w:r>
      <w:bookmarkEnd w:id="24"/>
    </w:p>
    <w:p w:rsidR="001265E3" w:rsidRPr="006E5F98" w:rsidRDefault="001265E3" w:rsidP="006E5F98">
      <w:pPr>
        <w:spacing w:after="0" w:line="240" w:lineRule="auto"/>
        <w:ind w:left="284" w:hanging="284"/>
        <w:rPr>
          <w:noProof/>
          <w:sz w:val="20"/>
        </w:rPr>
      </w:pPr>
      <w:bookmarkStart w:id="25" w:name="_ENREF_15"/>
      <w:r w:rsidRPr="006E5F98">
        <w:rPr>
          <w:noProof/>
          <w:sz w:val="20"/>
        </w:rPr>
        <w:t xml:space="preserve">Hiebert, Paul G.: </w:t>
      </w:r>
      <w:r w:rsidRPr="006E5F98">
        <w:rPr>
          <w:i/>
          <w:noProof/>
          <w:sz w:val="20"/>
        </w:rPr>
        <w:t>Anthropological Reflections on Missiological Issues</w:t>
      </w:r>
      <w:r w:rsidRPr="006E5F98">
        <w:rPr>
          <w:noProof/>
          <w:sz w:val="20"/>
        </w:rPr>
        <w:t xml:space="preserve">. Grand Rapids 1994 </w:t>
      </w:r>
      <w:bookmarkEnd w:id="25"/>
    </w:p>
    <w:p w:rsidR="001265E3" w:rsidRPr="006E5F98" w:rsidRDefault="001265E3" w:rsidP="006E5F98">
      <w:pPr>
        <w:spacing w:after="0" w:line="240" w:lineRule="auto"/>
        <w:ind w:left="284" w:hanging="284"/>
        <w:rPr>
          <w:noProof/>
          <w:sz w:val="20"/>
        </w:rPr>
      </w:pPr>
      <w:bookmarkStart w:id="26" w:name="_ENREF_16"/>
      <w:r w:rsidRPr="006E5F98">
        <w:rPr>
          <w:noProof/>
          <w:sz w:val="20"/>
        </w:rPr>
        <w:t xml:space="preserve">Hirsch, Michael und Frost, Alan: </w:t>
      </w:r>
      <w:r w:rsidRPr="006E5F98">
        <w:rPr>
          <w:i/>
          <w:noProof/>
          <w:sz w:val="20"/>
        </w:rPr>
        <w:t>Zukunft gestalten. Innovation und Evangelisation in der Kirche des 21. Jahrhunderts</w:t>
      </w:r>
      <w:r w:rsidRPr="006E5F98">
        <w:rPr>
          <w:noProof/>
          <w:sz w:val="20"/>
        </w:rPr>
        <w:t xml:space="preserve">. Asslar 2008 </w:t>
      </w:r>
      <w:bookmarkEnd w:id="26"/>
    </w:p>
    <w:p w:rsidR="001265E3" w:rsidRPr="006E5F98" w:rsidRDefault="001265E3" w:rsidP="006E5F98">
      <w:pPr>
        <w:spacing w:after="0" w:line="240" w:lineRule="auto"/>
        <w:ind w:left="284" w:hanging="284"/>
        <w:rPr>
          <w:noProof/>
          <w:sz w:val="20"/>
        </w:rPr>
      </w:pPr>
      <w:bookmarkStart w:id="27" w:name="_ENREF_17"/>
      <w:r w:rsidRPr="006E5F98">
        <w:rPr>
          <w:noProof/>
          <w:sz w:val="20"/>
        </w:rPr>
        <w:t xml:space="preserve">Huber, Wolfgang: </w:t>
      </w:r>
      <w:r w:rsidRPr="006E5F98">
        <w:rPr>
          <w:i/>
          <w:noProof/>
          <w:sz w:val="20"/>
        </w:rPr>
        <w:t>Art. "Volkskirche, I. systematisch-theologisch"</w:t>
      </w:r>
      <w:r w:rsidRPr="006E5F98">
        <w:rPr>
          <w:noProof/>
          <w:sz w:val="20"/>
        </w:rPr>
        <w:t>. In: TRE 35 (2003), 249-254</w:t>
      </w:r>
      <w:bookmarkEnd w:id="27"/>
    </w:p>
    <w:p w:rsidR="001265E3" w:rsidRPr="006E5F98" w:rsidRDefault="001265E3" w:rsidP="006E5F98">
      <w:pPr>
        <w:spacing w:after="0" w:line="240" w:lineRule="auto"/>
        <w:ind w:left="284" w:hanging="284"/>
        <w:rPr>
          <w:noProof/>
          <w:sz w:val="20"/>
        </w:rPr>
      </w:pPr>
      <w:bookmarkStart w:id="28" w:name="_ENREF_18"/>
      <w:r w:rsidRPr="006E5F98">
        <w:rPr>
          <w:noProof/>
          <w:sz w:val="20"/>
        </w:rPr>
        <w:t xml:space="preserve">---: </w:t>
      </w:r>
      <w:r w:rsidRPr="006E5F98">
        <w:rPr>
          <w:i/>
          <w:noProof/>
          <w:sz w:val="20"/>
        </w:rPr>
        <w:t>Kirche für das 21. Jahrhundert. Ein theologischer Entwurf</w:t>
      </w:r>
      <w:r w:rsidRPr="006E5F98">
        <w:rPr>
          <w:noProof/>
          <w:sz w:val="20"/>
        </w:rPr>
        <w:t xml:space="preserve">. In: Manfred Kock (Hg.): </w:t>
      </w:r>
      <w:r w:rsidRPr="006E5F98">
        <w:rPr>
          <w:i/>
          <w:noProof/>
          <w:sz w:val="20"/>
        </w:rPr>
        <w:t xml:space="preserve">Kirche im 21. Jahrhundert. </w:t>
      </w:r>
      <w:r w:rsidRPr="006E5F98">
        <w:rPr>
          <w:noProof/>
          <w:sz w:val="20"/>
        </w:rPr>
        <w:t xml:space="preserve">Stuttgart 2004, 147-158 </w:t>
      </w:r>
      <w:bookmarkEnd w:id="28"/>
    </w:p>
    <w:p w:rsidR="001265E3" w:rsidRPr="006E5F98" w:rsidRDefault="001265E3" w:rsidP="006E5F98">
      <w:pPr>
        <w:spacing w:after="0" w:line="240" w:lineRule="auto"/>
        <w:ind w:left="284" w:hanging="284"/>
        <w:rPr>
          <w:noProof/>
          <w:sz w:val="20"/>
        </w:rPr>
      </w:pPr>
      <w:bookmarkStart w:id="29" w:name="_ENREF_19"/>
      <w:r w:rsidRPr="006E5F98">
        <w:rPr>
          <w:noProof/>
          <w:sz w:val="20"/>
        </w:rPr>
        <w:t xml:space="preserve">Jacob, Günter:  </w:t>
      </w:r>
      <w:r w:rsidRPr="006E5F98">
        <w:rPr>
          <w:i/>
          <w:noProof/>
          <w:sz w:val="20"/>
        </w:rPr>
        <w:t>Die Zukunft der Kirche in der Welt des Jahres 1985</w:t>
      </w:r>
      <w:r w:rsidRPr="006E5F98">
        <w:rPr>
          <w:noProof/>
          <w:sz w:val="20"/>
        </w:rPr>
        <w:t>. Zeichen der Zeit (1967), 441-451</w:t>
      </w:r>
      <w:bookmarkEnd w:id="29"/>
    </w:p>
    <w:p w:rsidR="001265E3" w:rsidRPr="006E5F98" w:rsidRDefault="001265E3" w:rsidP="006E5F98">
      <w:pPr>
        <w:spacing w:after="0" w:line="240" w:lineRule="auto"/>
        <w:ind w:left="284" w:hanging="284"/>
        <w:rPr>
          <w:noProof/>
          <w:sz w:val="20"/>
        </w:rPr>
      </w:pPr>
      <w:bookmarkStart w:id="30" w:name="_ENREF_20"/>
      <w:r w:rsidRPr="006E5F98">
        <w:rPr>
          <w:noProof/>
          <w:sz w:val="20"/>
        </w:rPr>
        <w:t xml:space="preserve">Kirchenamt der EKD (Hg.): </w:t>
      </w:r>
      <w:r w:rsidRPr="006E5F98">
        <w:rPr>
          <w:i/>
          <w:noProof/>
          <w:sz w:val="20"/>
        </w:rPr>
        <w:t>Reden von Gott in der Welt. Der missionarische Auftrag der Kirche an der Schwelle zum 3. Jahrtausend</w:t>
      </w:r>
      <w:r w:rsidRPr="006E5F98">
        <w:rPr>
          <w:noProof/>
          <w:sz w:val="20"/>
        </w:rPr>
        <w:t xml:space="preserve">. Frankfurt/M. 2. Aufl. 2001 </w:t>
      </w:r>
    </w:p>
    <w:p w:rsidR="001265E3" w:rsidRPr="006E5F98" w:rsidRDefault="001265E3" w:rsidP="006E5F98">
      <w:pPr>
        <w:spacing w:after="0" w:line="240" w:lineRule="auto"/>
        <w:ind w:left="284" w:hanging="284"/>
        <w:rPr>
          <w:noProof/>
          <w:sz w:val="20"/>
        </w:rPr>
      </w:pPr>
      <w:r w:rsidRPr="006E5F98">
        <w:rPr>
          <w:noProof/>
          <w:sz w:val="20"/>
        </w:rPr>
        <w:t xml:space="preserve">---: </w:t>
      </w:r>
      <w:r w:rsidRPr="006E5F98">
        <w:rPr>
          <w:i/>
          <w:noProof/>
          <w:sz w:val="20"/>
        </w:rPr>
        <w:t>Kirche der Freiheit. Perspektiven für die Evangelische Kirche im 21. Jahrhundert. Ein Impulspapier des Rates der EKD</w:t>
      </w:r>
      <w:r w:rsidRPr="006E5F98">
        <w:rPr>
          <w:noProof/>
          <w:sz w:val="20"/>
        </w:rPr>
        <w:t xml:space="preserve">. Hannover 2006 </w:t>
      </w:r>
    </w:p>
    <w:p w:rsidR="001265E3" w:rsidRPr="006E5F98" w:rsidRDefault="001265E3" w:rsidP="006E5F98">
      <w:pPr>
        <w:spacing w:after="0" w:line="240" w:lineRule="auto"/>
        <w:ind w:left="284" w:hanging="284"/>
        <w:rPr>
          <w:noProof/>
          <w:sz w:val="20"/>
        </w:rPr>
      </w:pPr>
      <w:r w:rsidRPr="006E5F98">
        <w:rPr>
          <w:noProof/>
          <w:sz w:val="20"/>
        </w:rPr>
        <w:t xml:space="preserve">Lange, Ernst: </w:t>
      </w:r>
      <w:r w:rsidRPr="006E5F98">
        <w:rPr>
          <w:i/>
          <w:noProof/>
          <w:sz w:val="20"/>
        </w:rPr>
        <w:t>Chancen des Alltags. Überlegungen zur Funktion des christlichen Gottesdienstes in der Gegenwart</w:t>
      </w:r>
      <w:r w:rsidRPr="006E5F98">
        <w:rPr>
          <w:noProof/>
          <w:sz w:val="20"/>
        </w:rPr>
        <w:t>. Stuttgart und Gelnhausen 1965 (Handbücherei des Christen in der Welt Bd. VIII)</w:t>
      </w:r>
      <w:bookmarkEnd w:id="30"/>
    </w:p>
    <w:p w:rsidR="001265E3" w:rsidRPr="006E5F98" w:rsidRDefault="001265E3" w:rsidP="006E5F98">
      <w:pPr>
        <w:spacing w:after="0" w:line="240" w:lineRule="auto"/>
        <w:ind w:left="284" w:hanging="284"/>
        <w:rPr>
          <w:noProof/>
          <w:sz w:val="20"/>
        </w:rPr>
      </w:pPr>
      <w:bookmarkStart w:id="31" w:name="_ENREF_21"/>
      <w:r w:rsidRPr="006E5F98">
        <w:rPr>
          <w:noProof/>
          <w:sz w:val="20"/>
        </w:rPr>
        <w:t xml:space="preserve">Meyers, Joseph R.: </w:t>
      </w:r>
      <w:r w:rsidRPr="006E5F98">
        <w:rPr>
          <w:i/>
          <w:noProof/>
          <w:sz w:val="20"/>
        </w:rPr>
        <w:t>The Search To Belong</w:t>
      </w:r>
      <w:r w:rsidRPr="006E5F98">
        <w:rPr>
          <w:noProof/>
          <w:sz w:val="20"/>
        </w:rPr>
        <w:t xml:space="preserve">. Grand Rapids 2003 </w:t>
      </w:r>
      <w:bookmarkEnd w:id="31"/>
    </w:p>
    <w:p w:rsidR="001265E3" w:rsidRPr="006E5F98" w:rsidRDefault="001265E3" w:rsidP="006E5F98">
      <w:pPr>
        <w:spacing w:after="0" w:line="240" w:lineRule="auto"/>
        <w:ind w:left="284" w:hanging="284"/>
        <w:rPr>
          <w:noProof/>
          <w:sz w:val="20"/>
        </w:rPr>
      </w:pPr>
      <w:bookmarkStart w:id="32" w:name="_ENREF_22"/>
      <w:r w:rsidRPr="006E5F98">
        <w:rPr>
          <w:noProof/>
          <w:sz w:val="20"/>
        </w:rPr>
        <w:t xml:space="preserve">Möller, Christian: </w:t>
      </w:r>
      <w:r w:rsidRPr="006E5F98">
        <w:rPr>
          <w:i/>
          <w:noProof/>
          <w:sz w:val="20"/>
        </w:rPr>
        <w:t>Lasst die Kirche im Dorf. Gemeinden beginnen den Aufbruch</w:t>
      </w:r>
      <w:r w:rsidRPr="006E5F98">
        <w:rPr>
          <w:noProof/>
          <w:sz w:val="20"/>
        </w:rPr>
        <w:t xml:space="preserve">. Göttingen 2009 </w:t>
      </w:r>
      <w:bookmarkEnd w:id="32"/>
    </w:p>
    <w:p w:rsidR="001265E3" w:rsidRPr="006E5F98" w:rsidRDefault="001265E3" w:rsidP="006E5F98">
      <w:pPr>
        <w:spacing w:after="0" w:line="240" w:lineRule="auto"/>
        <w:ind w:left="284" w:hanging="284"/>
        <w:rPr>
          <w:noProof/>
          <w:sz w:val="20"/>
        </w:rPr>
      </w:pPr>
      <w:bookmarkStart w:id="33" w:name="_ENREF_23"/>
      <w:r w:rsidRPr="006E5F98">
        <w:rPr>
          <w:noProof/>
          <w:sz w:val="20"/>
        </w:rPr>
        <w:t xml:space="preserve">Morgenthaler, Christoph:  </w:t>
      </w:r>
      <w:r w:rsidRPr="006E5F98">
        <w:rPr>
          <w:i/>
          <w:noProof/>
          <w:sz w:val="20"/>
        </w:rPr>
        <w:t>"Ach, hätte Gott dies alles noch erleben dürfen…". Praktische Theologie, Ironie und Poesie</w:t>
      </w:r>
      <w:r w:rsidRPr="006E5F98">
        <w:rPr>
          <w:noProof/>
          <w:sz w:val="20"/>
        </w:rPr>
        <w:t>. PTh 101 (2012), 359-370</w:t>
      </w:r>
      <w:bookmarkEnd w:id="33"/>
    </w:p>
    <w:p w:rsidR="001265E3" w:rsidRPr="006E5F98" w:rsidRDefault="001265E3" w:rsidP="006E5F98">
      <w:pPr>
        <w:spacing w:after="0" w:line="240" w:lineRule="auto"/>
        <w:ind w:left="284" w:hanging="284"/>
        <w:rPr>
          <w:noProof/>
          <w:sz w:val="20"/>
        </w:rPr>
      </w:pPr>
      <w:bookmarkStart w:id="34" w:name="_ENREF_24"/>
      <w:r w:rsidRPr="006E5F98">
        <w:rPr>
          <w:noProof/>
          <w:sz w:val="20"/>
        </w:rPr>
        <w:t xml:space="preserve">Moynagh, Michael: </w:t>
      </w:r>
      <w:r w:rsidRPr="006E5F98">
        <w:rPr>
          <w:i/>
          <w:noProof/>
          <w:sz w:val="20"/>
        </w:rPr>
        <w:t>Church for every context. An introduction to theology and practice</w:t>
      </w:r>
      <w:r w:rsidRPr="006E5F98">
        <w:rPr>
          <w:noProof/>
          <w:sz w:val="20"/>
        </w:rPr>
        <w:t xml:space="preserve">. London 2012 </w:t>
      </w:r>
      <w:bookmarkEnd w:id="34"/>
    </w:p>
    <w:p w:rsidR="001265E3" w:rsidRPr="006E5F98" w:rsidRDefault="001265E3" w:rsidP="006E5F98">
      <w:pPr>
        <w:spacing w:after="0" w:line="240" w:lineRule="auto"/>
        <w:ind w:left="284" w:hanging="284"/>
        <w:rPr>
          <w:noProof/>
          <w:sz w:val="20"/>
        </w:rPr>
      </w:pPr>
      <w:bookmarkStart w:id="35" w:name="_ENREF_25"/>
      <w:r w:rsidRPr="006E5F98">
        <w:rPr>
          <w:noProof/>
          <w:sz w:val="20"/>
        </w:rPr>
        <w:t xml:space="preserve">Müller, Hans-Martin:  </w:t>
      </w:r>
      <w:r w:rsidRPr="006E5F98">
        <w:rPr>
          <w:i/>
          <w:noProof/>
          <w:sz w:val="20"/>
        </w:rPr>
        <w:t>Gemeindearbeit</w:t>
      </w:r>
      <w:r w:rsidRPr="006E5F98">
        <w:rPr>
          <w:noProof/>
          <w:sz w:val="20"/>
        </w:rPr>
        <w:t>. ThR 62 (1997), 90-102</w:t>
      </w:r>
      <w:bookmarkEnd w:id="35"/>
    </w:p>
    <w:p w:rsidR="001265E3" w:rsidRPr="006E5F98" w:rsidRDefault="001265E3" w:rsidP="006E5F98">
      <w:pPr>
        <w:spacing w:after="0" w:line="240" w:lineRule="auto"/>
        <w:ind w:left="284" w:hanging="284"/>
        <w:rPr>
          <w:noProof/>
          <w:sz w:val="20"/>
        </w:rPr>
      </w:pPr>
      <w:bookmarkStart w:id="36" w:name="_ENREF_26"/>
      <w:r w:rsidRPr="006E5F98">
        <w:rPr>
          <w:noProof/>
          <w:sz w:val="20"/>
        </w:rPr>
        <w:t xml:space="preserve">Nolland, John: </w:t>
      </w:r>
      <w:r w:rsidRPr="006E5F98">
        <w:rPr>
          <w:i/>
          <w:noProof/>
          <w:sz w:val="20"/>
        </w:rPr>
        <w:t>The Gospel of Matthew</w:t>
      </w:r>
      <w:r w:rsidRPr="006E5F98">
        <w:rPr>
          <w:noProof/>
          <w:sz w:val="20"/>
        </w:rPr>
        <w:t xml:space="preserve">. Grand Rapids und Cambridge 2005 (The New International Greek New Testament Commentary) </w:t>
      </w:r>
      <w:bookmarkEnd w:id="36"/>
    </w:p>
    <w:p w:rsidR="001265E3" w:rsidRPr="006E5F98" w:rsidRDefault="001265E3" w:rsidP="006E5F98">
      <w:pPr>
        <w:spacing w:after="0" w:line="240" w:lineRule="auto"/>
        <w:ind w:left="284" w:hanging="284"/>
        <w:rPr>
          <w:noProof/>
          <w:sz w:val="20"/>
        </w:rPr>
      </w:pPr>
      <w:bookmarkStart w:id="37" w:name="_ENREF_27"/>
      <w:r w:rsidRPr="006E5F98">
        <w:rPr>
          <w:noProof/>
          <w:sz w:val="20"/>
        </w:rPr>
        <w:t xml:space="preserve">Ruddat, Günter: </w:t>
      </w:r>
      <w:r w:rsidRPr="006E5F98">
        <w:rPr>
          <w:i/>
          <w:noProof/>
          <w:sz w:val="20"/>
        </w:rPr>
        <w:t>Neue Gottesdienste braucht das Land? Liturgisch-topographische und konzeptionell handlungsorientierte Überlegungen</w:t>
      </w:r>
      <w:r w:rsidRPr="006E5F98">
        <w:rPr>
          <w:noProof/>
          <w:sz w:val="20"/>
        </w:rPr>
        <w:t xml:space="preserve">. In: Irene Mildenberger und Wolfgang Ratzmann (Hg.): </w:t>
      </w:r>
      <w:r w:rsidRPr="006E5F98">
        <w:rPr>
          <w:i/>
          <w:noProof/>
          <w:sz w:val="20"/>
        </w:rPr>
        <w:t xml:space="preserve">Jenseits der Agende. Reflexion und Dokumentation alternativer Gottesdienste. </w:t>
      </w:r>
      <w:r w:rsidRPr="006E5F98">
        <w:rPr>
          <w:noProof/>
          <w:sz w:val="20"/>
        </w:rPr>
        <w:t>Leipzig 2003, 45-66 (Beiträge zu Liturgie und Spiritualität Bd. 10)</w:t>
      </w:r>
      <w:bookmarkEnd w:id="37"/>
    </w:p>
    <w:p w:rsidR="001265E3" w:rsidRPr="006E5F98" w:rsidRDefault="001265E3" w:rsidP="006E5F98">
      <w:pPr>
        <w:spacing w:after="0" w:line="240" w:lineRule="auto"/>
        <w:ind w:left="284" w:hanging="284"/>
        <w:rPr>
          <w:noProof/>
          <w:sz w:val="20"/>
        </w:rPr>
      </w:pPr>
      <w:bookmarkStart w:id="38" w:name="_ENREF_28"/>
      <w:r w:rsidRPr="006E5F98">
        <w:rPr>
          <w:noProof/>
          <w:sz w:val="20"/>
        </w:rPr>
        <w:t xml:space="preserve">Sulze, Emil: </w:t>
      </w:r>
      <w:r w:rsidRPr="006E5F98">
        <w:rPr>
          <w:i/>
          <w:noProof/>
          <w:sz w:val="20"/>
        </w:rPr>
        <w:t>Die evangelische Gemeinde</w:t>
      </w:r>
      <w:r w:rsidRPr="006E5F98">
        <w:rPr>
          <w:noProof/>
          <w:sz w:val="20"/>
        </w:rPr>
        <w:t xml:space="preserve">. Leipzig 2. z.T. neu bearbeitete Aufl. 1912 </w:t>
      </w:r>
      <w:bookmarkEnd w:id="38"/>
    </w:p>
    <w:p w:rsidR="001265E3" w:rsidRPr="006E5F98" w:rsidRDefault="001265E3" w:rsidP="006E5F98">
      <w:pPr>
        <w:spacing w:after="0" w:line="240" w:lineRule="auto"/>
        <w:ind w:left="284" w:hanging="284"/>
        <w:rPr>
          <w:noProof/>
          <w:sz w:val="20"/>
        </w:rPr>
      </w:pPr>
      <w:bookmarkStart w:id="39" w:name="_ENREF_29"/>
      <w:r w:rsidRPr="006E5F98">
        <w:rPr>
          <w:noProof/>
          <w:sz w:val="20"/>
        </w:rPr>
        <w:t xml:space="preserve">Thiede, Carsten Peter: </w:t>
      </w:r>
      <w:r w:rsidRPr="006E5F98">
        <w:rPr>
          <w:i/>
          <w:noProof/>
          <w:sz w:val="20"/>
        </w:rPr>
        <w:t>Wer bist du, Jesus? Schlaglichter auf den Mann, der in kein Schema passt</w:t>
      </w:r>
      <w:r w:rsidRPr="006E5F98">
        <w:rPr>
          <w:noProof/>
          <w:sz w:val="20"/>
        </w:rPr>
        <w:t xml:space="preserve">. Basel und Gießen 2000 </w:t>
      </w:r>
      <w:bookmarkEnd w:id="39"/>
    </w:p>
    <w:p w:rsidR="001265E3" w:rsidRPr="006E5F98" w:rsidRDefault="001265E3" w:rsidP="006E5F98">
      <w:pPr>
        <w:spacing w:after="0" w:line="240" w:lineRule="auto"/>
        <w:ind w:left="284" w:hanging="284"/>
        <w:rPr>
          <w:noProof/>
          <w:sz w:val="20"/>
        </w:rPr>
      </w:pPr>
      <w:bookmarkStart w:id="40" w:name="_ENREF_30"/>
      <w:r w:rsidRPr="006E5F98">
        <w:rPr>
          <w:noProof/>
          <w:sz w:val="20"/>
        </w:rPr>
        <w:t xml:space="preserve">Troeltsch, Ernst: </w:t>
      </w:r>
      <w:r w:rsidRPr="006E5F98">
        <w:rPr>
          <w:i/>
          <w:noProof/>
          <w:sz w:val="20"/>
        </w:rPr>
        <w:t>Die Soziallehren der christlichen Kirchen und Gruppen</w:t>
      </w:r>
      <w:r w:rsidRPr="006E5F98">
        <w:rPr>
          <w:noProof/>
          <w:sz w:val="20"/>
        </w:rPr>
        <w:t>. Tübingen 1912 (GS Bd. 1)</w:t>
      </w:r>
      <w:bookmarkEnd w:id="40"/>
    </w:p>
    <w:p w:rsidR="001265E3" w:rsidRPr="006E5F98" w:rsidRDefault="001265E3" w:rsidP="006E5F98">
      <w:pPr>
        <w:spacing w:after="0" w:line="240" w:lineRule="auto"/>
        <w:ind w:left="284" w:hanging="284"/>
        <w:rPr>
          <w:noProof/>
          <w:sz w:val="20"/>
        </w:rPr>
      </w:pPr>
      <w:bookmarkStart w:id="41" w:name="_ENREF_31"/>
      <w:r w:rsidRPr="006E5F98">
        <w:rPr>
          <w:noProof/>
          <w:sz w:val="20"/>
        </w:rPr>
        <w:t xml:space="preserve">Zimmermann, Johannes: </w:t>
      </w:r>
      <w:r w:rsidRPr="006E5F98">
        <w:rPr>
          <w:i/>
          <w:noProof/>
          <w:sz w:val="20"/>
        </w:rPr>
        <w:t>Gemeinde zwischen Individualität und Sozialität. Herausforderungen für den Gemeindeaufbau im gesellschaftlichen Wandel</w:t>
      </w:r>
      <w:r w:rsidRPr="006E5F98">
        <w:rPr>
          <w:noProof/>
          <w:sz w:val="20"/>
        </w:rPr>
        <w:t>. Neukirchen-Vluyn 2. Aufl. 2009 (BEG Bd. 3)</w:t>
      </w:r>
      <w:bookmarkEnd w:id="41"/>
    </w:p>
    <w:p w:rsidR="001265E3" w:rsidRPr="006E5F98" w:rsidRDefault="001265E3" w:rsidP="006E5F98">
      <w:pPr>
        <w:spacing w:after="0" w:line="240" w:lineRule="auto"/>
        <w:ind w:left="284" w:hanging="284"/>
        <w:rPr>
          <w:noProof/>
          <w:sz w:val="20"/>
        </w:rPr>
      </w:pPr>
      <w:bookmarkStart w:id="42" w:name="_ENREF_32"/>
      <w:r w:rsidRPr="006E5F98">
        <w:rPr>
          <w:noProof/>
          <w:sz w:val="20"/>
        </w:rPr>
        <w:t xml:space="preserve">Zimmermann, Johannes und Schröder, Anna-Konstanze: </w:t>
      </w:r>
      <w:r w:rsidRPr="006E5F98">
        <w:rPr>
          <w:i/>
          <w:noProof/>
          <w:sz w:val="20"/>
        </w:rPr>
        <w:t>Wie finden Erwachsene zum Glauben?</w:t>
      </w:r>
      <w:r w:rsidRPr="006E5F98">
        <w:rPr>
          <w:noProof/>
          <w:sz w:val="20"/>
        </w:rPr>
        <w:t xml:space="preserve"> Neukirchen-Vluyn 2010 (BEG-Praxis) </w:t>
      </w:r>
      <w:bookmarkEnd w:id="42"/>
    </w:p>
    <w:p w:rsidR="001265E3" w:rsidRPr="006E5F98" w:rsidRDefault="001265E3" w:rsidP="006E5F98">
      <w:pPr>
        <w:spacing w:after="0" w:line="240" w:lineRule="auto"/>
        <w:ind w:left="284" w:hanging="284"/>
        <w:rPr>
          <w:noProof/>
          <w:sz w:val="20"/>
        </w:rPr>
      </w:pPr>
      <w:bookmarkStart w:id="43" w:name="_ENREF_33"/>
      <w:r w:rsidRPr="006E5F98">
        <w:rPr>
          <w:noProof/>
          <w:sz w:val="20"/>
        </w:rPr>
        <w:t xml:space="preserve">Zulehner, Paul: </w:t>
      </w:r>
      <w:r w:rsidRPr="006E5F98">
        <w:rPr>
          <w:i/>
          <w:noProof/>
          <w:sz w:val="20"/>
        </w:rPr>
        <w:t>Pastoraltheologie - Fundamentalpastoral: Kirche zwischen Auftrag und Erwartung</w:t>
      </w:r>
      <w:r w:rsidRPr="006E5F98">
        <w:rPr>
          <w:noProof/>
          <w:sz w:val="20"/>
        </w:rPr>
        <w:t xml:space="preserve">. Düsseldorf 1989 </w:t>
      </w:r>
    </w:p>
    <w:bookmarkEnd w:id="43"/>
    <w:p w:rsidR="001265E3" w:rsidRPr="006E5F98" w:rsidRDefault="001265E3" w:rsidP="006E5F98">
      <w:pPr>
        <w:spacing w:after="0" w:line="240" w:lineRule="auto"/>
        <w:rPr>
          <w:b/>
          <w:noProof/>
          <w:sz w:val="20"/>
        </w:rPr>
      </w:pPr>
    </w:p>
    <w:p w:rsidR="0084540C" w:rsidRPr="006E5F98" w:rsidRDefault="001265E3" w:rsidP="006E5F98">
      <w:pPr>
        <w:ind w:left="284" w:hanging="284"/>
      </w:pPr>
      <w:r w:rsidRPr="006E5F98">
        <w:rPr>
          <w:sz w:val="20"/>
        </w:rPr>
        <w:fldChar w:fldCharType="end"/>
      </w:r>
      <w:bookmarkEnd w:id="4"/>
      <w:bookmarkEnd w:id="0"/>
      <w:bookmarkEnd w:id="1"/>
    </w:p>
    <w:sectPr w:rsidR="0084540C" w:rsidRPr="006E5F98" w:rsidSect="007515B2">
      <w:headerReference w:type="default" r:id="rId22"/>
      <w:footerReference w:type="even" r:id="rId23"/>
      <w:footerReference w:type="default" r:id="rId24"/>
      <w:type w:val="continuous"/>
      <w:pgSz w:w="11906" w:h="16838"/>
      <w:pgMar w:top="1304" w:right="1304" w:bottom="1134" w:left="1304" w:header="340" w:footer="454"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B18" w:rsidRDefault="00A60B18" w:rsidP="000D11E1">
      <w:pPr>
        <w:spacing w:after="0" w:line="240" w:lineRule="auto"/>
      </w:pPr>
      <w:r>
        <w:separator/>
      </w:r>
    </w:p>
  </w:endnote>
  <w:endnote w:type="continuationSeparator" w:id="0">
    <w:p w:rsidR="00A60B18" w:rsidRDefault="00A60B18" w:rsidP="000D1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3">
    <w:panose1 w:val="05040102010807070707"/>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Univers LT Std 47 Cn Lt">
    <w:panose1 w:val="020B04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charset w:val="00"/>
    <w:family w:val="auto"/>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18" w:rsidRDefault="00A60B18"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60B18" w:rsidRDefault="00A60B18" w:rsidP="0022019D">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18" w:rsidRPr="00496B32" w:rsidRDefault="00A60B18" w:rsidP="0022019D">
    <w:pPr>
      <w:pStyle w:val="Fuzeile"/>
      <w:ind w:right="360"/>
      <w:jc w:val="right"/>
      <w:rPr>
        <w:sz w:val="20"/>
        <w:szCs w:val="20"/>
      </w:rPr>
    </w:pPr>
    <w:fldSimple w:instr=" PAGE  \* MERGEFORMAT ">
      <w:r w:rsidR="008326C1" w:rsidRPr="008326C1">
        <w:rPr>
          <w:rStyle w:val="Seitenzahl"/>
          <w:noProof/>
        </w:rPr>
        <w:t>2</w:t>
      </w:r>
    </w:fldSimple>
    <w:r>
      <w:rPr>
        <w:noProof/>
        <w:sz w:val="20"/>
        <w:szCs w:val="20"/>
        <w:lang w:eastAsia="de-DE"/>
      </w:rPr>
      <w:pict>
        <v:group id="_x0000_s2059" style="position:absolute;left:0;text-align:left;margin-left:422.8pt;margin-top:-3pt;width:39pt;height:37.95pt;rotation:270;flip:x y;z-index:251659776;mso-position-horizontal-relative:text;mso-position-vertical-relative:text" coordorigin="8754,11945" coordsize="2880,2859">
          <v:rect id="_x0000_s2060" style="position:absolute;left:10194;top:11945;width:1440;height:1440;flip:x;v-text-anchor:middle" fillcolor="#bfbfbf" strokecolor="white" strokeweight="1pt">
            <v:fill opacity=".5"/>
            <v:shadow color="#d8d8d8" offset="3pt,3pt" offset2="2pt,2pt"/>
          </v:rect>
          <v:rect id="_x0000_s2061" style="position:absolute;left:10194;top:13364;width:1440;height:1440;flip:x;v-text-anchor:middle" fillcolor="#af2b2b" strokecolor="white" strokeweight="1pt">
            <v:shadow color="#d8d8d8" offset="3pt,3pt" offset2="2pt,2pt"/>
          </v:rect>
          <v:rect id="_x0000_s2062" style="position:absolute;left:8754;top:13364;width:1440;height:1440;flip:x;v-text-anchor:middle" fillcolor="#548dd4" strokecolor="white" strokeweight="1pt">
            <v:fill opacity=".5"/>
            <v:shadow color="#d8d8d8" offset="3pt,3pt" offset2="2pt,2pt"/>
          </v:rect>
        </v:group>
      </w:pict>
    </w:r>
  </w:p>
  <w:p w:rsidR="00A60B18" w:rsidRPr="00496B32" w:rsidRDefault="00A60B18" w:rsidP="000D11E1">
    <w:pPr>
      <w:pStyle w:val="Fuzeile"/>
      <w:rPr>
        <w:sz w:val="16"/>
        <w:szCs w:val="16"/>
      </w:rPr>
    </w:pPr>
    <w:r>
      <w:rPr>
        <w:sz w:val="16"/>
        <w:szCs w:val="16"/>
      </w:rPr>
      <w:t>19. Oktober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B18" w:rsidRDefault="00A60B18" w:rsidP="000D11E1">
      <w:pPr>
        <w:spacing w:after="0" w:line="240" w:lineRule="auto"/>
      </w:pPr>
      <w:r>
        <w:separator/>
      </w:r>
    </w:p>
  </w:footnote>
  <w:footnote w:type="continuationSeparator" w:id="0">
    <w:p w:rsidR="00A60B18" w:rsidRDefault="00A60B18" w:rsidP="000D11E1">
      <w:pPr>
        <w:spacing w:after="0" w:line="240" w:lineRule="auto"/>
      </w:pPr>
      <w:r>
        <w:continuationSeparator/>
      </w:r>
    </w:p>
  </w:footnote>
  <w:footnote w:id="1">
    <w:p w:rsidR="00A60B18" w:rsidRDefault="00A60B18" w:rsidP="00105A92">
      <w:pPr>
        <w:pStyle w:val="Funotentext"/>
      </w:pPr>
      <w:r>
        <w:rPr>
          <w:rStyle w:val="Funotenzeichen"/>
        </w:rPr>
        <w:footnoteRef/>
      </w:r>
      <w:r>
        <w:t xml:space="preserve"> Der Begriff Gemeinde hat immer etwas „Lokales“, der indogermanische Wortstamm verweist auf den „Gemei</w:t>
      </w:r>
      <w:r>
        <w:t>n</w:t>
      </w:r>
      <w:r>
        <w:t xml:space="preserve">degrund“, man denkt (wie bei </w:t>
      </w:r>
      <w:proofErr w:type="spellStart"/>
      <w:r w:rsidRPr="006872B5">
        <w:rPr>
          <w:rFonts w:ascii="Bwgrkl" w:hAnsi="Bwgrkl"/>
        </w:rPr>
        <w:t>koinwni,a</w:t>
      </w:r>
      <w:proofErr w:type="spellEnd"/>
      <w:r w:rsidRPr="006872B5">
        <w:t>) an das durch gemei</w:t>
      </w:r>
      <w:r w:rsidRPr="006872B5">
        <w:t>n</w:t>
      </w:r>
      <w:r>
        <w:t xml:space="preserve">same Mauern gesicherte Gebiet (vgl.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 56).</w:t>
      </w:r>
    </w:p>
  </w:footnote>
  <w:footnote w:id="2">
    <w:p w:rsidR="00A60B18" w:rsidRDefault="00A60B18" w:rsidP="001B21AF">
      <w:pPr>
        <w:pStyle w:val="Funotentext"/>
      </w:pPr>
      <w:r>
        <w:rPr>
          <w:rStyle w:val="Funotenzeichen"/>
        </w:rPr>
        <w:footnoteRef/>
      </w:r>
      <w:r>
        <w:t xml:space="preserve"> </w:t>
      </w:r>
      <w:r>
        <w:fldChar w:fldCharType="begin"/>
      </w:r>
      <w:r>
        <w:instrText xml:space="preserve"> ADDIN EN.CITE &lt;EndNote&gt;&lt;Cite&gt;&lt;Author&gt;Grethlein&lt;/Author&gt;&lt;Year&gt;2012&lt;/Year&gt;&lt;RecNum&gt;2537&lt;/RecNum&gt;&lt;DisplayText&gt;Christian Grethlein 2012a, &lt;/DisplayText&gt;&lt;record&gt;&lt;rec-number&gt;2537&lt;/rec-number&gt;&lt;foreign-keys&gt;&lt;key app="EN" db-id="0t0dxv9vetdatmef0a959d9wdwf995aa9dxw"&gt;2537&lt;/key&gt;&lt;/foreign-keys&gt;&lt;ref-type name="Journal Article"&gt;17&lt;/ref-type&gt;&lt;contributors&gt;&lt;authors&gt;&lt;author&gt;Christian Grethlein&lt;/author&gt;&lt;/authors&gt;&lt;/contributors&gt;&lt;titles&gt;&lt;title&gt;Kirche - als praktisch-theologischer Begriff. Überlegungen zu einer Neuformatierung der Kirchentheorie&lt;/title&gt;&lt;secondary-title&gt;PTh&lt;/secondary-title&gt;&lt;/titles&gt;&lt;periodical&gt;&lt;full-title&gt;PTh&lt;/full-title&gt;&lt;/periodical&gt;&lt;pages&gt;136-151&lt;/pages&gt;&lt;volume&gt;101&lt;/volume&gt;&lt;keywords&gt;&lt;keyword&gt;Kirche der Freiheit, Mission, Kirchentheorie, Gemeindeaufbau, Medien, Schule, Diakonie, Doppelstrategie&lt;/keyword&gt;&lt;/keywords&gt;&lt;dates&gt;&lt;year&gt;2012&lt;/year&gt;&lt;/dates&gt;&lt;urls&gt;&lt;/urls&gt;&lt;/record&gt;&lt;/Cite&gt;&lt;/EndNote&gt;</w:instrText>
      </w:r>
      <w:r>
        <w:fldChar w:fldCharType="separate"/>
      </w:r>
      <w:r>
        <w:rPr>
          <w:noProof/>
        </w:rPr>
        <w:t xml:space="preserve">Christian Grethlein 2012a, </w:t>
      </w:r>
      <w:r>
        <w:fldChar w:fldCharType="end"/>
      </w:r>
      <w:r>
        <w:t>147.</w:t>
      </w:r>
    </w:p>
  </w:footnote>
  <w:footnote w:id="3">
    <w:p w:rsidR="00A60B18" w:rsidRDefault="00A60B18" w:rsidP="002917EA">
      <w:pPr>
        <w:pStyle w:val="Funotentext"/>
      </w:pPr>
      <w:r>
        <w:rPr>
          <w:rStyle w:val="Funotenzeichen"/>
        </w:rPr>
        <w:footnoteRef/>
      </w:r>
      <w:r>
        <w:t xml:space="preserve"> Vgl. </w:t>
      </w:r>
      <w:r>
        <w:fldChar w:fldCharType="begin"/>
      </w:r>
      <w:r>
        <w:instrText xml:space="preserve"> ADDIN EN.CITE &lt;EndNote&gt;&lt;Cite&gt;&lt;Author&gt;Troeltsch&lt;/Author&gt;&lt;Year&gt;1912&lt;/Year&gt;&lt;RecNum&gt;2733&lt;/RecNum&gt;&lt;DisplayText&gt;Ernst Troeltsch 1912&lt;/DisplayText&gt;&lt;record&gt;&lt;rec-number&gt;2733&lt;/rec-number&gt;&lt;foreign-keys&gt;&lt;key app="EN" db-id="0t0dxv9vetdatmef0a959d9wdwf995aa9dxw"&gt;2733&lt;/key&gt;&lt;/foreign-keys&gt;&lt;ref-type name="Book"&gt;6&lt;/ref-type&gt;&lt;contributors&gt;&lt;authors&gt;&lt;author&gt;Ernst Troeltsch&lt;/author&gt;&lt;/authors&gt;&lt;/contributors&gt;&lt;titles&gt;&lt;title&gt;Die Soziallehren der christlichen Kirchen und Gruppen&lt;/title&gt;&lt;secondary-title&gt;GS&lt;/secondary-title&gt;&lt;/titles&gt;&lt;number&gt;Bd. 1 &lt;/number&gt;&lt;dates&gt;&lt;year&gt;1912&lt;/year&gt;&lt;/dates&gt;&lt;pub-location&gt;Tübingen&lt;/pub-location&gt;&lt;urls&gt;&lt;/urls&gt;&lt;/record&gt;&lt;/Cite&gt;&lt;/EndNote&gt;</w:instrText>
      </w:r>
      <w:r>
        <w:fldChar w:fldCharType="separate"/>
      </w:r>
      <w:r>
        <w:rPr>
          <w:noProof/>
        </w:rPr>
        <w:t>Ernst Troeltsch 1912</w:t>
      </w:r>
      <w:r>
        <w:fldChar w:fldCharType="end"/>
      </w:r>
      <w:r>
        <w:t xml:space="preserve">; vgl. bei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53.</w:t>
      </w:r>
    </w:p>
  </w:footnote>
  <w:footnote w:id="4">
    <w:p w:rsidR="00A60B18" w:rsidRDefault="00A60B18" w:rsidP="001B21AF">
      <w:pPr>
        <w:pStyle w:val="Funotentext"/>
      </w:pPr>
      <w:r>
        <w:rPr>
          <w:rStyle w:val="Funotenzeichen"/>
        </w:rPr>
        <w:footnoteRef/>
      </w:r>
      <w:r>
        <w:t xml:space="preserve"> Zitiert bei </w:t>
      </w:r>
      <w:r>
        <w:fldChar w:fldCharType="begin"/>
      </w:r>
      <w:r>
        <w:instrText xml:space="preserve"> ADDIN EN.CITE &lt;EndNote&gt;&lt;Cite&gt;&lt;Author&gt;Hermelink&lt;/Author&gt;&lt;Year&gt;2011&lt;/Year&gt;&lt;RecNum&gt;2542&lt;/RecNum&gt;&lt;DisplayText&gt;ibid.&lt;/DisplayText&gt;&lt;record&gt;&lt;rec-number&gt;2542&lt;/rec-number&gt;&lt;foreign-keys&gt;&lt;key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ibid.</w:t>
      </w:r>
      <w:r>
        <w:fldChar w:fldCharType="end"/>
      </w:r>
      <w:r>
        <w:t>, 54.</w:t>
      </w:r>
    </w:p>
  </w:footnote>
  <w:footnote w:id="5">
    <w:p w:rsidR="00A60B18" w:rsidRDefault="00A60B18" w:rsidP="00A92844">
      <w:pPr>
        <w:pStyle w:val="Funotentext"/>
      </w:pPr>
      <w:r>
        <w:rPr>
          <w:rStyle w:val="Funotenzeichen"/>
        </w:rPr>
        <w:footnoteRef/>
      </w:r>
      <w:r>
        <w:t xml:space="preserve"> Vgl. </w:t>
      </w:r>
      <w:r>
        <w:fldChar w:fldCharType="begin"/>
      </w:r>
      <w:r>
        <w:instrText xml:space="preserve"> ADDIN EN.CITE &lt;EndNote&gt;&lt;Cite&gt;&lt;Author&gt;Hiebert&lt;/Author&gt;&lt;Year&gt;1994&lt;/Year&gt;&lt;RecNum&gt;2703&lt;/RecNum&gt;&lt;DisplayText&gt;Paul G. Hiebert, 1994&lt;/DisplayText&gt;&lt;record&gt;&lt;rec-number&gt;2703&lt;/rec-number&gt;&lt;foreign-keys&gt;&lt;key app="EN" db-id="0t0dxv9vetdatmef0a959d9wdwf995aa9dxw"&gt;2703&lt;/key&gt;&lt;/foreign-keys&gt;&lt;ref-type name="Edited Book"&gt;28&lt;/ref-type&gt;&lt;contributors&gt;&lt;authors&gt;&lt;author&gt;Paul G. Hiebert&lt;/author&gt;&lt;/authors&gt;&lt;/contributors&gt;&lt;titles&gt;&lt;title&gt;Anthropological Reflections on Missiological Issues&lt;/title&gt;&lt;/titles&gt;&lt;dates&gt;&lt;year&gt;1994&lt;/year&gt;&lt;/dates&gt;&lt;pub-location&gt;Grand Rapids&lt;/pub-location&gt;&lt;urls&gt;&lt;/urls&gt;&lt;/record&gt;&lt;/Cite&gt;&lt;/EndNote&gt;</w:instrText>
      </w:r>
      <w:r>
        <w:fldChar w:fldCharType="separate"/>
      </w:r>
      <w:r>
        <w:rPr>
          <w:noProof/>
        </w:rPr>
        <w:t>Paul G. Hiebert, 1994</w:t>
      </w:r>
      <w:r>
        <w:fldChar w:fldCharType="end"/>
      </w:r>
      <w:r>
        <w:t>.</w:t>
      </w:r>
    </w:p>
  </w:footnote>
  <w:footnote w:id="6">
    <w:p w:rsidR="00A60B18" w:rsidRDefault="00A60B18" w:rsidP="00A92844">
      <w:pPr>
        <w:pStyle w:val="Funotentext"/>
      </w:pPr>
      <w:r>
        <w:rPr>
          <w:rStyle w:val="Funotenzeichen"/>
        </w:rPr>
        <w:footnoteRef/>
      </w:r>
      <w:r>
        <w:t xml:space="preserve"> Vgl. </w:t>
      </w:r>
      <w:r>
        <w:fldChar w:fldCharType="begin"/>
      </w:r>
      <w:r>
        <w:instrText xml:space="preserve"> ADDIN EN.CITE &lt;EndNote&gt;&lt;Cite&gt;&lt;Author&gt;Hirsch&lt;/Author&gt;&lt;Year&gt;2008&lt;/Year&gt;&lt;RecNum&gt;976&lt;/RecNum&gt;&lt;DisplayText&gt;Michael Frost; Alan Hirsch 2008&lt;/DisplayText&gt;&lt;record&gt;&lt;rec-number&gt;976&lt;/rec-number&gt;&lt;foreign-keys&gt;&lt;key app="EN" db-id="0t0dxv9vetdatmef0a959d9wdwf995aa9dxw"&gt;976&lt;/key&gt;&lt;/foreign-keys&gt;&lt;ref-type name="Book"&gt;6&lt;/ref-type&gt;&lt;contributors&gt;&lt;authors&gt;&lt;author&gt;Michael Frost; Alan Hirsch&lt;/author&gt;&lt;/authors&gt;&lt;/contributors&gt;&lt;titles&gt;&lt;title&gt;Zukunft gestalten. Innovation und Evangelisation in der Kirche des 21. Jahrhunderts&lt;/title&gt;&lt;/titles&gt;&lt;dates&gt;&lt;year&gt;2008&lt;/year&gt;&lt;/dates&gt;&lt;pub-location&gt;Asslar&lt;/pub-location&gt;&lt;urls&gt;&lt;/urls&gt;&lt;/record&gt;&lt;/Cite&gt;&lt;/EndNote&gt;</w:instrText>
      </w:r>
      <w:r>
        <w:fldChar w:fldCharType="separate"/>
      </w:r>
      <w:r>
        <w:rPr>
          <w:noProof/>
        </w:rPr>
        <w:t>Michael Frost; Alan Hirsch 2008</w:t>
      </w:r>
      <w:r>
        <w:fldChar w:fldCharType="end"/>
      </w:r>
      <w:r>
        <w:t>; 89-94.</w:t>
      </w:r>
    </w:p>
  </w:footnote>
  <w:footnote w:id="7">
    <w:p w:rsidR="00A60B18" w:rsidRDefault="00A60B18" w:rsidP="001B21AF">
      <w:pPr>
        <w:pStyle w:val="Funotentext"/>
      </w:pPr>
      <w:r>
        <w:rPr>
          <w:rStyle w:val="Funotenzeichen"/>
        </w:rPr>
        <w:footnoteRef/>
      </w:r>
      <w:r>
        <w:t xml:space="preserve"> </w:t>
      </w:r>
      <w:hyperlink r:id="rId1" w:history="1">
        <w:r w:rsidRPr="001859DC">
          <w:rPr>
            <w:rStyle w:val="Link"/>
          </w:rPr>
          <w:t>http://www.ekd.de/glauben/bekenntnisse/augsburger_bekenntnis.html</w:t>
        </w:r>
      </w:hyperlink>
      <w:r>
        <w:t xml:space="preserve"> - aufgesucht am 17. Oktober 2012.</w:t>
      </w:r>
    </w:p>
  </w:footnote>
  <w:footnote w:id="8">
    <w:p w:rsidR="00A60B18" w:rsidRDefault="00A60B18" w:rsidP="001B21AF">
      <w:pPr>
        <w:pStyle w:val="Funotentext"/>
      </w:pPr>
      <w:r>
        <w:rPr>
          <w:rStyle w:val="Funotenzeichen"/>
        </w:rPr>
        <w:footnoteRef/>
      </w:r>
      <w:r>
        <w:t xml:space="preserve">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37.</w:t>
      </w:r>
    </w:p>
  </w:footnote>
  <w:footnote w:id="9">
    <w:p w:rsidR="00A60B18" w:rsidRDefault="00A60B18" w:rsidP="001B21AF">
      <w:pPr>
        <w:pStyle w:val="Funotentext"/>
      </w:pPr>
      <w:r>
        <w:rPr>
          <w:rStyle w:val="Funotenzeichen"/>
        </w:rPr>
        <w:footnoteRef/>
      </w:r>
      <w:r>
        <w:t xml:space="preserve"> </w:t>
      </w:r>
      <w:r>
        <w:fldChar w:fldCharType="begin"/>
      </w:r>
      <w:r>
        <w:instrText xml:space="preserve"> ADDIN EN.CITE &lt;EndNote&gt;&lt;Cite&gt;&lt;Author&gt;Hermelink&lt;/Author&gt;&lt;Year&gt;2011&lt;/Year&gt;&lt;RecNum&gt;2542&lt;/RecNum&gt;&lt;DisplayText&gt;Ibid.&lt;/DisplayText&gt;&lt;record&gt;&lt;rec-number&gt;2542&lt;/rec-number&gt;&lt;foreign-keys&gt;&lt;key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Ibid.</w:t>
      </w:r>
      <w:r>
        <w:fldChar w:fldCharType="end"/>
      </w:r>
      <w:r>
        <w:t>, 38.</w:t>
      </w:r>
    </w:p>
  </w:footnote>
  <w:footnote w:id="10">
    <w:p w:rsidR="00A60B18" w:rsidRDefault="00A60B18" w:rsidP="004865E7">
      <w:pPr>
        <w:pStyle w:val="Funotentext"/>
      </w:pPr>
      <w:r>
        <w:rPr>
          <w:rStyle w:val="Funotenzeichen"/>
        </w:rPr>
        <w:footnoteRef/>
      </w:r>
      <w:r>
        <w:t xml:space="preserve"> </w:t>
      </w:r>
      <w:hyperlink r:id="rId2" w:history="1">
        <w:r w:rsidRPr="00D2456C">
          <w:rPr>
            <w:rStyle w:val="Link"/>
          </w:rPr>
          <w:t>http://www.kirche-im-norden.de/fileadmin/Download/VerfassungNordkirche_07012012.pdf</w:t>
        </w:r>
      </w:hyperlink>
      <w:r>
        <w:t xml:space="preserve"> - aufgesucht am 17. Oktober 2012. </w:t>
      </w:r>
      <w:r>
        <w:rPr>
          <w:lang w:eastAsia="de-DE"/>
        </w:rPr>
        <w:t>Dort heißt es aber auch: „Gemeindeglieder können sich auch in anderen Kirchengemeindefo</w:t>
      </w:r>
      <w:r>
        <w:rPr>
          <w:lang w:eastAsia="de-DE"/>
        </w:rPr>
        <w:t>r</w:t>
      </w:r>
      <w:r>
        <w:rPr>
          <w:lang w:eastAsia="de-DE"/>
        </w:rPr>
        <w:t>men regelmäßig um Wort und Sakrament versammeln. Dies gilt insbesondere für Personal- und Anstaltskirche</w:t>
      </w:r>
      <w:r>
        <w:rPr>
          <w:lang w:eastAsia="de-DE"/>
        </w:rPr>
        <w:t>n</w:t>
      </w:r>
      <w:r>
        <w:rPr>
          <w:lang w:eastAsia="de-DE"/>
        </w:rPr>
        <w:t>gemeinden. Das Nähere wird durch Kirchengesetz geregelt.“</w:t>
      </w:r>
    </w:p>
  </w:footnote>
  <w:footnote w:id="11">
    <w:p w:rsidR="00A60B18" w:rsidRDefault="00A60B18" w:rsidP="00464974">
      <w:pPr>
        <w:pStyle w:val="Funotentext"/>
      </w:pPr>
      <w:r>
        <w:rPr>
          <w:rStyle w:val="Funotenzeichen"/>
        </w:rPr>
        <w:footnoteRef/>
      </w:r>
      <w:r>
        <w:t xml:space="preserve"> Vgl. die Übersicht zu diesem Thema bei </w:t>
      </w:r>
      <w:r>
        <w:fldChar w:fldCharType="begin"/>
      </w:r>
      <w:r>
        <w:instrText xml:space="preserve"> ADDIN EN.CITE &lt;EndNote&gt;&lt;Cite&gt;&lt;Author&gt;Hermelink&lt;/Author&gt;&lt;Year&gt;2011&lt;/Year&gt;&lt;RecNum&gt;2542&lt;/RecNum&gt;&lt;DisplayText&gt;ibid.&lt;/DisplayText&gt;&lt;record&gt;&lt;rec-number&gt;2542&lt;/rec-number&gt;&lt;foreign-keys&gt;&lt;key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ibid.</w:t>
      </w:r>
      <w:r>
        <w:fldChar w:fldCharType="end"/>
      </w:r>
      <w:r>
        <w:t>, 144-151. Es ist mehr als auffällig, dass die Rolle des Pietismus hier überhaupt nicht gewürdigt wird.</w:t>
      </w:r>
    </w:p>
  </w:footnote>
  <w:footnote w:id="12">
    <w:p w:rsidR="00A60B18" w:rsidRDefault="00A60B18" w:rsidP="005E2B74">
      <w:pPr>
        <w:pStyle w:val="Funotentext"/>
      </w:pPr>
      <w:r>
        <w:rPr>
          <w:rStyle w:val="Funotenzeichen"/>
        </w:rPr>
        <w:footnoteRef/>
      </w:r>
      <w:r>
        <w:t xml:space="preserve"> Vgl. </w:t>
      </w:r>
      <w:r>
        <w:fldChar w:fldCharType="begin"/>
      </w:r>
      <w:r>
        <w:instrText xml:space="preserve"> ADDIN EN.CITE &lt;EndNote&gt;&lt;Cite&gt;&lt;Author&gt;Sulze&lt;/Author&gt;&lt;Year&gt;1912&lt;/Year&gt;&lt;RecNum&gt;2089&lt;/RecNum&gt;&lt;DisplayText&gt;Emil Sulze 1912&lt;/DisplayText&gt;&lt;record&gt;&lt;rec-number&gt;2089&lt;/rec-number&gt;&lt;foreign-keys&gt;&lt;key app="EN" db-id="0t0dxv9vetdatmef0a959d9wdwf995aa9dxw"&gt;2089&lt;/key&gt;&lt;/foreign-keys&gt;&lt;ref-type name="Book"&gt;6&lt;/ref-type&gt;&lt;contributors&gt;&lt;authors&gt;&lt;author&gt;Emil Sulze&lt;/author&gt;&lt;/authors&gt;&lt;/contributors&gt;&lt;titles&gt;&lt;title&gt;Die evangelische Gemeinde&lt;/title&gt;&lt;/titles&gt;&lt;edition&gt;2. z.T. neu bearbeitete Aufl. &lt;/edition&gt;&lt;dates&gt;&lt;year&gt;1912&lt;/year&gt;&lt;/dates&gt;&lt;pub-location&gt;Leipzig&lt;/pub-location&gt;&lt;urls&gt;&lt;/urls&gt;&lt;/record&gt;&lt;/Cite&gt;&lt;/EndNote&gt;</w:instrText>
      </w:r>
      <w:r>
        <w:fldChar w:fldCharType="separate"/>
      </w:r>
      <w:r>
        <w:rPr>
          <w:noProof/>
        </w:rPr>
        <w:t>Emil Sulze 1912</w:t>
      </w:r>
      <w:r>
        <w:fldChar w:fldCharType="end"/>
      </w:r>
      <w:r>
        <w:t xml:space="preserve"> (1. Aufl. 1890); vgl. z.B. </w:t>
      </w:r>
      <w:r>
        <w:fldChar w:fldCharType="begin"/>
      </w:r>
      <w:r>
        <w:instrText xml:space="preserve"> ADDIN EN.CITE &lt;EndNote&gt;&lt;Cite&gt;&lt;Author&gt;Bärend&lt;/Author&gt;&lt;Year&gt;2011&lt;/Year&gt;&lt;RecNum&gt;2429&lt;/RecNum&gt;&lt;DisplayText&gt;Hartmut Bärend 2011&lt;/DisplayText&gt;&lt;record&gt;&lt;rec-number&gt;2429&lt;/rec-number&gt;&lt;foreign-keys&gt;&lt;key app="EN" db-id="0t0dxv9vetdatmef0a959d9wdwf995aa9dxw"&gt;2429&lt;/key&gt;&lt;/foreign-keys&gt;&lt;ref-type name="Book"&gt;6&lt;/ref-type&gt;&lt;contributors&gt;&lt;authors&gt;&lt;author&gt;Hartmut Bärend&lt;/author&gt;&lt;/authors&gt;&lt;/contributors&gt;&lt;titles&gt;&lt;title&gt;Wie der Blick zurück die Gemeinde nach vorn bringen kann. Ein Gang durch die Geschichte der kirchlichen Volksmission&lt;/title&gt;&lt;secondary-title&gt;BEG-Praxis&lt;/secondary-title&gt;&lt;/titles&gt;&lt;dates&gt;&lt;year&gt;2011&lt;/year&gt;&lt;/dates&gt;&lt;pub-location&gt;Neukirchen-Vluyn&lt;/pub-location&gt;&lt;urls&gt;&lt;/urls&gt;&lt;/record&gt;&lt;/Cite&gt;&lt;/EndNote&gt;</w:instrText>
      </w:r>
      <w:r>
        <w:fldChar w:fldCharType="separate"/>
      </w:r>
      <w:r>
        <w:rPr>
          <w:noProof/>
        </w:rPr>
        <w:t>Hartmut Bärend 2011</w:t>
      </w:r>
      <w:r>
        <w:fldChar w:fldCharType="end"/>
      </w:r>
      <w:r>
        <w:t>.</w:t>
      </w:r>
    </w:p>
  </w:footnote>
  <w:footnote w:id="13">
    <w:p w:rsidR="00A60B18" w:rsidRDefault="00A60B18" w:rsidP="006E0846">
      <w:pPr>
        <w:pStyle w:val="Funotentext"/>
      </w:pPr>
      <w:r>
        <w:rPr>
          <w:rStyle w:val="Funotenzeichen"/>
        </w:rPr>
        <w:footnoteRef/>
      </w:r>
      <w:r>
        <w:t xml:space="preserve"> Vgl. zur Konventskirche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152-160; vgl. z.B. Dietrich Bonhoeffers „Gemeinsames Leben“ (</w:t>
      </w:r>
      <w:r>
        <w:fldChar w:fldCharType="begin"/>
      </w:r>
      <w:r>
        <w:instrText xml:space="preserve"> ADDIN EN.CITE &lt;EndNote&gt;&lt;Cite&gt;&lt;Author&gt;Bonhoeffer&lt;/Author&gt;&lt;Year&gt;2002&lt;/Year&gt;&lt;RecNum&gt;83&lt;/RecNum&gt;&lt;DisplayText&gt;Dietrich Bonhoeffer 2002&lt;/DisplayText&gt;&lt;record&gt;&lt;rec-number&gt;83&lt;/rec-number&gt;&lt;foreign-keys&gt;&lt;key app="EN" db-id="0t0dxv9vetdatmef0a959d9wdwf995aa9dxw"&gt;83&lt;/key&gt;&lt;/foreign-keys&gt;&lt;ref-type name="Book"&gt;6&lt;/ref-type&gt;&lt;contributors&gt;&lt;authors&gt;&lt;author&gt;Dietrich Bonhoeffer&lt;/author&gt;&lt;/authors&gt;&lt;/contributors&gt;&lt;titles&gt;&lt;title&gt;Gemeinsames Leben. Das Gebetbuch der Bibel&lt;/title&gt;&lt;secondary-title&gt;DBW&lt;/secondary-title&gt;&lt;/titles&gt;&lt;pages&gt;203 S.&lt;/pages&gt;&lt;number&gt;Bd. 5 &lt;/number&gt;&lt;edition&gt;2.,durchges. und aktualisierte Aufl.&lt;/edition&gt;&lt;dates&gt;&lt;year&gt;2002&lt;/year&gt;&lt;/dates&gt;&lt;pub-location&gt;München&lt;/pub-location&gt;&lt;publisher&gt;Kaiser&lt;/publisher&gt;&lt;isbn&gt;3-579-01875-2&lt;/isbn&gt;&lt;accession-num&gt;111585953&lt;/accession-num&gt;&lt;urls&gt;&lt;/urls&gt;&lt;language&gt;ger&lt;/language&gt;&lt;/record&gt;&lt;/Cite&gt;&lt;/EndNote&gt;</w:instrText>
      </w:r>
      <w:r>
        <w:fldChar w:fldCharType="separate"/>
      </w:r>
      <w:r>
        <w:rPr>
          <w:noProof/>
        </w:rPr>
        <w:t>Dietrich Bonhoeffer 2002</w:t>
      </w:r>
      <w:r>
        <w:fldChar w:fldCharType="end"/>
      </w:r>
      <w:r>
        <w:t>).</w:t>
      </w:r>
    </w:p>
  </w:footnote>
  <w:footnote w:id="14">
    <w:p w:rsidR="00A60B18" w:rsidRDefault="00A60B18" w:rsidP="0094608F">
      <w:pPr>
        <w:pStyle w:val="Funotentext"/>
      </w:pPr>
      <w:r>
        <w:rPr>
          <w:rStyle w:val="Funotenzeichen"/>
        </w:rPr>
        <w:footnoteRef/>
      </w:r>
      <w:r>
        <w:t xml:space="preserve"> Vgl. zu neuen Gottesdienstformen </w:t>
      </w:r>
      <w:r>
        <w:fldChar w:fldCharType="begin"/>
      </w:r>
      <w:r>
        <w:instrText xml:space="preserve"> ADDIN EN.CITE &lt;EndNote&gt;&lt;Cite&gt;&lt;Author&gt;Ruddat&lt;/Author&gt;&lt;Year&gt;2003&lt;/Year&gt;&lt;RecNum&gt;2626&lt;/RecNum&gt;&lt;DisplayText&gt;Michael Herbst 2000, ; Günter Ruddat 2003, &lt;/DisplayText&gt;&lt;record&gt;&lt;rec-number&gt;2626&lt;/rec-number&gt;&lt;foreign-keys&gt;&lt;key app="EN" db-id="0t0dxv9vetdatmef0a959d9wdwf995aa9dxw"&gt;2626&lt;/key&gt;&lt;/foreign-keys&gt;&lt;ref-type name="Book Section"&gt;5&lt;/ref-type&gt;&lt;contributors&gt;&lt;authors&gt;&lt;author&gt;Günter Ruddat&lt;/author&gt;&lt;/authors&gt;&lt;secondary-authors&gt;&lt;author&gt;Irene Mildenberger&lt;/author&gt;&lt;author&gt;Wolfgang Ratzmann&lt;/author&gt;&lt;/secondary-authors&gt;&lt;/contributors&gt;&lt;titles&gt;&lt;title&gt;Neue Gottesdienste braucht das Land? Liturgisch-topographische und konzeptionell handlungsorientierte Überlegungen&lt;/title&gt;&lt;secondary-title&gt;Jenseits der Agende. Reflexion und Dokumentation alternativer Gottesdienste&lt;/secondary-title&gt;&lt;tertiary-title&gt;Beiträge zu Liturgie und Spiritualität&lt;/tertiary-title&gt;&lt;/titles&gt;&lt;pages&gt;45-66&lt;/pages&gt;&lt;number&gt;Bd. 10 &lt;/number&gt;&lt;dates&gt;&lt;year&gt;2003&lt;/year&gt;&lt;/dates&gt;&lt;pub-location&gt;Leipzig&lt;/pub-location&gt;&lt;urls&gt;&lt;/urls&gt;&lt;/record&gt;&lt;/Cite&gt;&lt;Cite&gt;&lt;Author&gt;Herbst&lt;/Author&gt;&lt;Year&gt;2000&lt;/Year&gt;&lt;RecNum&gt;964&lt;/RecNum&gt;&lt;record&gt;&lt;rec-number&gt;964&lt;/rec-number&gt;&lt;foreign-keys&gt;&lt;key app="EN" db-id="0t0dxv9vetdatmef0a959d9wdwf995aa9dxw"&gt;964&lt;/key&gt;&lt;/foreign-keys&gt;&lt;ref-type name="Journal Article"&gt;17&lt;/ref-type&gt;&lt;contributors&gt;&lt;authors&gt;&lt;author&gt;Michael Herbst&lt;/author&gt;&lt;/authors&gt;&lt;/contributors&gt;&lt;titles&gt;&lt;title&gt;Neue Gottesdienste braucht das Land&lt;/title&gt;&lt;secondary-title&gt;BThZ&lt;/secondary-title&gt;&lt;/titles&gt;&lt;periodical&gt;&lt;full-title&gt;BThZ&lt;/full-title&gt;&lt;/periodical&gt;&lt;pages&gt;155-176&lt;/pages&gt;&lt;volume&gt;17 &lt;/volume&gt;&lt;dates&gt;&lt;year&gt;2000&lt;/year&gt;&lt;/dates&gt;&lt;urls&gt;&lt;/urls&gt;&lt;/record&gt;&lt;/Cite&gt;&lt;/EndNote&gt;</w:instrText>
      </w:r>
      <w:r>
        <w:fldChar w:fldCharType="separate"/>
      </w:r>
      <w:r>
        <w:rPr>
          <w:noProof/>
        </w:rPr>
        <w:t xml:space="preserve">Michael Herbst 2000; Günter Ruddat 2003, </w:t>
      </w:r>
      <w:r>
        <w:fldChar w:fldCharType="end"/>
      </w:r>
      <w:r>
        <w:t>155-176.</w:t>
      </w:r>
    </w:p>
  </w:footnote>
  <w:footnote w:id="15">
    <w:p w:rsidR="00A60B18" w:rsidRDefault="00A60B18" w:rsidP="0094608F">
      <w:pPr>
        <w:pStyle w:val="Funotentext"/>
      </w:pPr>
      <w:r>
        <w:rPr>
          <w:rStyle w:val="Funotenzeichen"/>
        </w:rPr>
        <w:footnoteRef/>
      </w:r>
      <w:r>
        <w:t xml:space="preserve"> Diesen Schritt geht Jan Hermelink nicht mehr mit; bei ihm endet es mit der „Funktionskirche“.</w:t>
      </w:r>
    </w:p>
  </w:footnote>
  <w:footnote w:id="16">
    <w:p w:rsidR="00A60B18" w:rsidRDefault="00A60B18" w:rsidP="00485F77">
      <w:pPr>
        <w:pStyle w:val="Funotentext"/>
      </w:pPr>
      <w:r>
        <w:rPr>
          <w:rStyle w:val="Funotenzeichen"/>
        </w:rPr>
        <w:footnoteRef/>
      </w:r>
      <w:r>
        <w:t xml:space="preserve"> Vgl. </w:t>
      </w:r>
      <w:r>
        <w:fldChar w:fldCharType="begin"/>
      </w:r>
      <w:r>
        <w:instrText xml:space="preserve"> ADDIN EN.CITE &lt;EndNote&gt;&lt;Cite&gt;&lt;Author&gt;EKD&lt;/Author&gt;&lt;Year&gt;2001&lt;/Year&gt;&lt;RecNum&gt;968&lt;/RecNum&gt;&lt;DisplayText&gt;Kirchenamt der EKD, 2001&lt;/DisplayText&gt;&lt;record&gt;&lt;rec-number&gt;968&lt;/rec-number&gt;&lt;foreign-keys&gt;&lt;key app="EN" db-id="0t0dxv9vetdatmef0a959d9wdwf995aa9dxw"&gt;968&lt;/key&gt;&lt;/foreign-keys&gt;&lt;ref-type name="Edited Book"&gt;28&lt;/ref-type&gt;&lt;contributors&gt;&lt;authors&gt;&lt;author&gt;Kirchenamt der EKD&lt;/author&gt;&lt;/authors&gt;&lt;/contributors&gt;&lt;titles&gt;&lt;title&gt;Reden von Gott in der Welt. Der missionarische Auftrag der Kirche an der Schwelle zum 3. Jahrtausend&lt;/title&gt;&lt;/titles&gt;&lt;edition&gt;2. Aufl. &lt;/edition&gt;&lt;dates&gt;&lt;year&gt;2001&lt;/year&gt;&lt;/dates&gt;&lt;pub-location&gt;Frankfurt/M.&lt;/pub-location&gt;&lt;urls&gt;&lt;/urls&gt;&lt;/record&gt;&lt;/Cite&gt;&lt;/EndNote&gt;</w:instrText>
      </w:r>
      <w:r>
        <w:fldChar w:fldCharType="separate"/>
      </w:r>
      <w:r>
        <w:rPr>
          <w:noProof/>
        </w:rPr>
        <w:t>Kirchenamt der EKD, 2001</w:t>
      </w:r>
      <w:r>
        <w:fldChar w:fldCharType="end"/>
      </w:r>
      <w:r>
        <w:t xml:space="preserve">; vgl. </w:t>
      </w:r>
      <w:r>
        <w:fldChar w:fldCharType="begin"/>
      </w:r>
      <w:r>
        <w:instrText xml:space="preserve"> ADDIN EN.CITE &lt;EndNote&gt;&lt;Cite&gt;&lt;Author&gt;EKD&lt;/Author&gt;&lt;Year&gt;2006&lt;/Year&gt;&lt;RecNum&gt;749&lt;/RecNum&gt;&lt;DisplayText&gt;Kirchenamt der EKD, 2006&lt;/DisplayText&gt;&lt;record&gt;&lt;rec-number&gt;749&lt;/rec-number&gt;&lt;foreign-keys&gt;&lt;key app="EN" db-id="0t0dxv9vetdatmef0a959d9wdwf995aa9dxw"&gt;749&lt;/key&gt;&lt;/foreign-keys&gt;&lt;ref-type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Kirchenamt der EKD, 2006</w:t>
      </w:r>
      <w:r>
        <w:fldChar w:fldCharType="end"/>
      </w:r>
      <w:r>
        <w:t xml:space="preserve">; vgl. z.B. </w:t>
      </w:r>
      <w:r>
        <w:fldChar w:fldCharType="begin"/>
      </w:r>
      <w:r>
        <w:instrText xml:space="preserve"> ADDIN EN.CITE &lt;EndNote&gt;&lt;Cite&gt;&lt;Author&gt;Huber&lt;/Author&gt;&lt;Year&gt;2003&lt;/Year&gt;&lt;RecNum&gt;1052&lt;/RecNum&gt;&lt;DisplayText&gt;Wolfgang Huber 2003, &lt;/DisplayText&gt;&lt;record&gt;&lt;rec-number&gt;1052&lt;/rec-number&gt;&lt;foreign-keys&gt;&lt;key app="EN" db-id="0t0dxv9vetdatmef0a959d9wdwf995aa9dxw"&gt;1052&lt;/key&gt;&lt;/foreign-keys&gt;&lt;ref-type name="Encyclopedia"&gt;53&lt;/ref-type&gt;&lt;contributors&gt;&lt;authors&gt;&lt;author&gt;Wolfgang Huber&lt;/author&gt;&lt;/authors&gt;&lt;/contributors&gt;&lt;titles&gt;&lt;title&gt;Art. &amp;quot;Volkskirche, I. systematisch-theologisch&amp;quot;&lt;/title&gt;&lt;secondary-title&gt;TRE&lt;/secondary-title&gt;&lt;/titles&gt;&lt;pages&gt;249-254&lt;/pages&gt;&lt;volume&gt;35 &lt;/volume&gt;&lt;dates&gt;&lt;year&gt;2003&lt;/year&gt;&lt;/dates&gt;&lt;pub-location&gt;Berlin und New York&lt;/pub-location&gt;&lt;urls&gt;&lt;/urls&gt;&lt;/record&gt;&lt;/Cite&gt;&lt;/EndNote&gt;</w:instrText>
      </w:r>
      <w:r>
        <w:fldChar w:fldCharType="separate"/>
      </w:r>
      <w:r>
        <w:rPr>
          <w:noProof/>
        </w:rPr>
        <w:t xml:space="preserve">Wolfgang Huber 2003, </w:t>
      </w:r>
      <w:r>
        <w:fldChar w:fldCharType="end"/>
      </w:r>
      <w:r>
        <w:t>249-254.</w:t>
      </w:r>
    </w:p>
  </w:footnote>
  <w:footnote w:id="17">
    <w:p w:rsidR="00A60B18" w:rsidRDefault="00A60B18" w:rsidP="00D74543">
      <w:pPr>
        <w:pStyle w:val="Funotentext"/>
      </w:pPr>
      <w:r>
        <w:rPr>
          <w:rStyle w:val="Funotenzeichen"/>
        </w:rPr>
        <w:footnoteRef/>
      </w:r>
      <w:r>
        <w:t xml:space="preserve"> </w:t>
      </w:r>
      <w:r>
        <w:fldChar w:fldCharType="begin"/>
      </w:r>
      <w:r>
        <w:instrText xml:space="preserve"> ADDIN EN.CITE &lt;EndNote&gt;&lt;Cite&gt;&lt;Author&gt;Huber&lt;/Author&gt;&lt;Year&gt;2004&lt;/Year&gt;&lt;RecNum&gt;2731&lt;/RecNum&gt;&lt;DisplayText&gt;Wolfgang Huber 2004, &lt;/DisplayText&gt;&lt;record&gt;&lt;rec-number&gt;2731&lt;/rec-number&gt;&lt;foreign-keys&gt;&lt;key app="EN" db-id="0t0dxv9vetdatmef0a959d9wdwf995aa9dxw"&gt;2731&lt;/key&gt;&lt;/foreign-keys&gt;&lt;ref-type name="Book Section"&gt;5&lt;/ref-type&gt;&lt;contributors&gt;&lt;authors&gt;&lt;author&gt;Wolfgang Huber&lt;/author&gt;&lt;/authors&gt;&lt;secondary-authors&gt;&lt;author&gt;Manfred Kock&lt;/author&gt;&lt;/secondary-authors&gt;&lt;/contributors&gt;&lt;titles&gt;&lt;title&gt;Kirche für das 21. Jahrhundert. Ein theologischer Entwurf&lt;/title&gt;&lt;secondary-title&gt;Kirche im 21. Jahrhundert&lt;/secondary-title&gt;&lt;/titles&gt;&lt;pages&gt;147-158&lt;/pages&gt;&lt;dates&gt;&lt;year&gt;2004&lt;/year&gt;&lt;/dates&gt;&lt;pub-location&gt;Stuttgart&lt;/pub-location&gt;&lt;urls&gt;&lt;/urls&gt;&lt;/record&gt;&lt;/Cite&gt;&lt;/EndNote&gt;</w:instrText>
      </w:r>
      <w:r>
        <w:fldChar w:fldCharType="separate"/>
      </w:r>
      <w:r>
        <w:rPr>
          <w:noProof/>
        </w:rPr>
        <w:t xml:space="preserve">Wolfgang Huber 2004, </w:t>
      </w:r>
      <w:r>
        <w:fldChar w:fldCharType="end"/>
      </w:r>
      <w:r>
        <w:t>153.</w:t>
      </w:r>
    </w:p>
  </w:footnote>
  <w:footnote w:id="18">
    <w:p w:rsidR="00A60B18" w:rsidRDefault="00A60B18" w:rsidP="00AC733F">
      <w:pPr>
        <w:pStyle w:val="Funotentext"/>
      </w:pPr>
      <w:r>
        <w:rPr>
          <w:rStyle w:val="Funotenzeichen"/>
        </w:rPr>
        <w:footnoteRef/>
      </w:r>
      <w:r>
        <w:t xml:space="preserve"> WA 50, 250 = BSLK, 489 = </w:t>
      </w:r>
      <w:proofErr w:type="spellStart"/>
      <w:r>
        <w:t>Schmalkaldische</w:t>
      </w:r>
      <w:proofErr w:type="spellEnd"/>
      <w:r>
        <w:t xml:space="preserve"> Artikel III,6. </w:t>
      </w:r>
    </w:p>
  </w:footnote>
  <w:footnote w:id="19">
    <w:p w:rsidR="00A60B18" w:rsidRDefault="00A60B18" w:rsidP="000810B7">
      <w:pPr>
        <w:pStyle w:val="Funotentext"/>
      </w:pPr>
      <w:r>
        <w:rPr>
          <w:rStyle w:val="Funotenzeichen"/>
        </w:rPr>
        <w:footnoteRef/>
      </w:r>
      <w:r>
        <w:t xml:space="preserve"> </w:t>
      </w:r>
      <w:r>
        <w:fldChar w:fldCharType="begin"/>
      </w:r>
      <w:r>
        <w:instrText xml:space="preserve"> ADDIN EN.CITE &lt;EndNote&gt;&lt;Cite&gt;&lt;Author&gt;Hermelink&lt;/Author&gt;&lt;Year&gt;2011&lt;/Year&gt;&lt;RecNum&gt;2542&lt;/RecNum&gt;&lt;DisplayText&gt;Ibid.&lt;/DisplayText&gt;&lt;record&gt;&lt;rec-number&gt;2542&lt;/rec-number&gt;&lt;foreign-keys&gt;&lt;key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Ibid.</w:t>
      </w:r>
      <w:r>
        <w:fldChar w:fldCharType="end"/>
      </w:r>
    </w:p>
  </w:footnote>
  <w:footnote w:id="20">
    <w:p w:rsidR="00A60B18" w:rsidRDefault="00A60B18" w:rsidP="000810B7">
      <w:pPr>
        <w:pStyle w:val="Funotentext"/>
      </w:pPr>
      <w:r>
        <w:rPr>
          <w:rStyle w:val="Funotenzeichen"/>
        </w:rPr>
        <w:footnoteRef/>
      </w:r>
      <w:r>
        <w:t xml:space="preserve"> </w:t>
      </w:r>
      <w:r>
        <w:fldChar w:fldCharType="begin"/>
      </w:r>
      <w:r>
        <w:instrText xml:space="preserve"> ADDIN EN.CITE &lt;EndNote&gt;&lt;Cite&gt;&lt;Author&gt;Hermelink&lt;/Author&gt;&lt;Year&gt;2011&lt;/Year&gt;&lt;RecNum&gt;2542&lt;/RecNum&gt;&lt;DisplayText&gt;Ibid.&lt;/DisplayText&gt;&lt;record&gt;&lt;rec-number&gt;2542&lt;/rec-number&gt;&lt;foreign-keys&gt;&lt;key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Ibid.</w:t>
      </w:r>
      <w:r>
        <w:fldChar w:fldCharType="end"/>
      </w:r>
      <w:r>
        <w:t>, 34.</w:t>
      </w:r>
    </w:p>
  </w:footnote>
  <w:footnote w:id="21">
    <w:p w:rsidR="00A60B18" w:rsidRDefault="00A60B18" w:rsidP="00286E4C">
      <w:pPr>
        <w:pStyle w:val="Funotentext"/>
      </w:pPr>
      <w:r>
        <w:rPr>
          <w:rStyle w:val="Funotenzeichen"/>
        </w:rPr>
        <w:footnoteRef/>
      </w:r>
      <w:r>
        <w:t xml:space="preserve"> </w:t>
      </w:r>
      <w:hyperlink r:id="rId3" w:history="1">
        <w:r w:rsidRPr="001859DC">
          <w:rPr>
            <w:rStyle w:val="Link"/>
          </w:rPr>
          <w:t>http://www.ekd.de/glauben/bekenntnisse/barmer_theologische_erklaerung.html</w:t>
        </w:r>
      </w:hyperlink>
      <w:r>
        <w:t xml:space="preserve"> – aufgesucht am 17. Okt</w:t>
      </w:r>
      <w:r>
        <w:t>o</w:t>
      </w:r>
      <w:r>
        <w:t>ber 2012.</w:t>
      </w:r>
    </w:p>
  </w:footnote>
  <w:footnote w:id="22">
    <w:p w:rsidR="00A60B18" w:rsidRDefault="00A60B18" w:rsidP="00286E4C">
      <w:pPr>
        <w:pStyle w:val="Funotentext"/>
      </w:pPr>
      <w:r>
        <w:rPr>
          <w:rStyle w:val="Funotenzeichen"/>
        </w:rPr>
        <w:footnoteRef/>
      </w:r>
      <w:r>
        <w:t xml:space="preserve"> Vgl.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w:t>
      </w:r>
    </w:p>
  </w:footnote>
  <w:footnote w:id="23">
    <w:p w:rsidR="00A60B18" w:rsidRDefault="00A60B18" w:rsidP="001B21AF">
      <w:pPr>
        <w:pStyle w:val="Funotentext"/>
      </w:pPr>
      <w:r>
        <w:rPr>
          <w:rStyle w:val="Funotenzeichen"/>
        </w:rPr>
        <w:footnoteRef/>
      </w:r>
      <w:r>
        <w:t xml:space="preserve"> WA 18, 652.</w:t>
      </w:r>
    </w:p>
  </w:footnote>
  <w:footnote w:id="24">
    <w:p w:rsidR="00A60B18" w:rsidRDefault="00A60B18" w:rsidP="001B21AF">
      <w:pPr>
        <w:pStyle w:val="Funotentext"/>
      </w:pPr>
      <w:r>
        <w:rPr>
          <w:rStyle w:val="Funotenzeichen"/>
        </w:rPr>
        <w:footnoteRef/>
      </w:r>
      <w:r>
        <w:t xml:space="preserve"> Vgl. auch </w:t>
      </w:r>
      <w:r>
        <w:fldChar w:fldCharType="begin"/>
      </w:r>
      <w:r>
        <w:instrText xml:space="preserve"> ADDIN EN.CITE &lt;EndNote&gt;&lt;Cite&gt;&lt;Author&gt;Hermelink&lt;/Author&gt;&lt;Year&gt;2011&lt;/Year&gt;&lt;RecNum&gt;2542&lt;/RecNum&gt;&lt;DisplayText&gt;Jan Hermelink 2011&lt;/DisplayText&gt;&lt;record&gt;&lt;rec-number&gt;2542&lt;/rec-number&gt;&lt;foreign-keys&gt;&lt;key app="EN" db-id="0t0dxv9vetdatmef0a959d9wdwf995aa9dxw"&gt;2542&lt;/key&gt;&lt;/foreign-keys&gt;&lt;ref-type name="Book"&gt;6&lt;/ref-type&gt;&lt;contributors&gt;&lt;authors&gt;&lt;author&gt;Jan Hermelink&lt;/author&gt;&lt;/authors&gt;&lt;/contributors&gt;&lt;titles&gt;&lt;title&gt;Kirchliche Organisation und das Jenseits des Glaubens. Eine praktisch-theologische Theorie der evangelischen Kirche&lt;/title&gt;&lt;/titles&gt;&lt;dates&gt;&lt;year&gt;2011&lt;/year&gt;&lt;/dates&gt;&lt;pub-location&gt;Gütersloh&lt;/pub-location&gt;&lt;urls&gt;&lt;/urls&gt;&lt;/record&gt;&lt;/Cite&gt;&lt;/EndNote&gt;</w:instrText>
      </w:r>
      <w:r>
        <w:fldChar w:fldCharType="separate"/>
      </w:r>
      <w:r>
        <w:rPr>
          <w:noProof/>
        </w:rPr>
        <w:t>Jan Hermelink 2011</w:t>
      </w:r>
      <w:r>
        <w:fldChar w:fldCharType="end"/>
      </w:r>
      <w:r>
        <w:t>, 34-36.</w:t>
      </w:r>
    </w:p>
  </w:footnote>
  <w:footnote w:id="25">
    <w:p w:rsidR="009047A0" w:rsidRDefault="009047A0" w:rsidP="009047A0">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106.</w:t>
      </w:r>
    </w:p>
  </w:footnote>
  <w:footnote w:id="26">
    <w:p w:rsidR="009047A0" w:rsidRDefault="009047A0" w:rsidP="009047A0">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107. Hub im Sinne von Mittelpunkt und Drehscheibe.</w:t>
      </w:r>
    </w:p>
  </w:footnote>
  <w:footnote w:id="27">
    <w:p w:rsidR="00A60B18" w:rsidRDefault="00A60B18" w:rsidP="003C5B1D">
      <w:pPr>
        <w:pStyle w:val="Funotentext"/>
      </w:pPr>
      <w:r>
        <w:rPr>
          <w:rStyle w:val="Funotenzeichen"/>
        </w:rPr>
        <w:footnoteRef/>
      </w:r>
      <w:r>
        <w:t xml:space="preserve"> Vgl.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18" w:rsidRDefault="00A60B18">
    <w:pPr>
      <w:pStyle w:val="Kopfzeile"/>
      <w:rPr>
        <w:b/>
        <w:bCs/>
        <w:sz w:val="16"/>
        <w:szCs w:val="16"/>
      </w:rPr>
    </w:pPr>
    <w:r w:rsidRPr="00144AB9">
      <w:rPr>
        <w:noProof/>
        <w:lang w:eastAsia="de-DE"/>
      </w:rPr>
      <w:pict>
        <v:shapetype id="_x0000_t202" coordsize="21600,21600" o:spt="202" path="m0,0l0,21600,21600,21600,21600,0xe">
          <v:stroke joinstyle="miter"/>
          <v:path gradientshapeok="t" o:connecttype="rect"/>
        </v:shapetype>
        <v:shape id="_x0000_s2049" type="#_x0000_t202" style="position:absolute;margin-left:-21.35pt;margin-top:-5.45pt;width:156.75pt;height:31.5pt;z-index:-251658752" fillcolor="#d8d8d8" stroked="f">
          <v:fill opacity="55706f"/>
          <v:textbox style="mso-next-textbox:#_x0000_s2049">
            <w:txbxContent>
              <w:p w:rsidR="00A60B18" w:rsidRDefault="00A60B18"/>
            </w:txbxContent>
          </v:textbox>
        </v:shape>
      </w:pict>
    </w:r>
    <w:r>
      <w:rPr>
        <w:noProof/>
        <w:lang w:eastAsia="de-DE"/>
      </w:rPr>
      <w:drawing>
        <wp:anchor distT="0" distB="0" distL="114300" distR="114300" simplePos="0" relativeHeight="251656704" behindDoc="1" locked="0" layoutInCell="1" allowOverlap="1">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sidRPr="00144AB9">
      <w:rPr>
        <w:noProof/>
        <w:lang w:eastAsia="de-DE"/>
      </w:rPr>
      <w:pict>
        <v:rect id="_x0000_s2051" style="position:absolute;margin-left:-21.35pt;margin-top:-5.45pt;width:15pt;height:31.5pt;z-index:251658752;mso-position-horizontal-relative:text;mso-position-vertical-relative:text" fillcolor="#943634" stroked="f"/>
      </w:pict>
    </w:r>
    <w:r w:rsidRPr="004D0F46">
      <w:rPr>
        <w:b/>
        <w:bCs/>
        <w:sz w:val="16"/>
        <w:szCs w:val="16"/>
      </w:rPr>
      <w:t>Lehrstuhl für Praktische Theologie</w:t>
    </w:r>
  </w:p>
  <w:p w:rsidR="00A60B18" w:rsidRPr="00892CF7" w:rsidRDefault="00A60B18">
    <w:pPr>
      <w:pStyle w:val="Kopfzeile"/>
      <w:rPr>
        <w:sz w:val="16"/>
        <w:szCs w:val="16"/>
      </w:rPr>
    </w:pPr>
    <w:r w:rsidRPr="00892CF7">
      <w:rPr>
        <w:sz w:val="16"/>
        <w:szCs w:val="16"/>
      </w:rPr>
      <w:t>Prof. Dr. Michael Herbst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2.25pt;height:9.95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C0D6F54"/>
    <w:multiLevelType w:val="hybridMultilevel"/>
    <w:tmpl w:val="5E3CB6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17093D"/>
    <w:multiLevelType w:val="hybridMultilevel"/>
    <w:tmpl w:val="41F008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D6B72CC"/>
    <w:multiLevelType w:val="hybridMultilevel"/>
    <w:tmpl w:val="D7D2108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Monotype Corsiv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onotype Corsiv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onotype Corsiv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Univers LT Std 47 Cn Lt"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Univers LT Std 47 Cn Lt"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Univers LT Std 47 Cn Lt"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1BA536EC"/>
    <w:multiLevelType w:val="hybridMultilevel"/>
    <w:tmpl w:val="57E2DE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6BC38C9"/>
    <w:multiLevelType w:val="hybridMultilevel"/>
    <w:tmpl w:val="75D62C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7897719"/>
    <w:multiLevelType w:val="hybridMultilevel"/>
    <w:tmpl w:val="192038F2"/>
    <w:lvl w:ilvl="0" w:tplc="BC4EB5EE">
      <w:start w:val="4"/>
      <w:numFmt w:val="decimal"/>
      <w:lvlText w:val="%1."/>
      <w:lvlJc w:val="left"/>
      <w:pPr>
        <w:ind w:left="72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35801B1B"/>
    <w:multiLevelType w:val="hybridMultilevel"/>
    <w:tmpl w:val="197E45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F10574"/>
    <w:multiLevelType w:val="hybridMultilevel"/>
    <w:tmpl w:val="C64CFA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6">
    <w:nsid w:val="3C7F07CC"/>
    <w:multiLevelType w:val="hybridMultilevel"/>
    <w:tmpl w:val="BF2689BC"/>
    <w:lvl w:ilvl="0" w:tplc="21FE6110">
      <w:numFmt w:val="bullet"/>
      <w:lvlText w:val="-"/>
      <w:lvlJc w:val="left"/>
      <w:pPr>
        <w:ind w:left="1069" w:hanging="360"/>
      </w:pPr>
      <w:rPr>
        <w:rFonts w:ascii="Univers LT Std 47 Cn Lt" w:eastAsia="Times New Roman" w:hAnsi="Univers LT Std 47 Cn Lt" w:cs="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D731904"/>
    <w:multiLevelType w:val="hybridMultilevel"/>
    <w:tmpl w:val="EBF014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0">
    <w:nsid w:val="4C1A5763"/>
    <w:multiLevelType w:val="hybridMultilevel"/>
    <w:tmpl w:val="687CD2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5B420C0"/>
    <w:multiLevelType w:val="hybridMultilevel"/>
    <w:tmpl w:val="5868F7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E2A3369"/>
    <w:multiLevelType w:val="hybridMultilevel"/>
    <w:tmpl w:val="04744E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4">
    <w:nsid w:val="74D01CF4"/>
    <w:multiLevelType w:val="multilevel"/>
    <w:tmpl w:val="75D62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5673556"/>
    <w:multiLevelType w:val="hybridMultilevel"/>
    <w:tmpl w:val="D49C07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BDE4D52"/>
    <w:multiLevelType w:val="hybridMultilevel"/>
    <w:tmpl w:val="FD1844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8"/>
  </w:num>
  <w:num w:numId="4">
    <w:abstractNumId w:val="3"/>
  </w:num>
  <w:num w:numId="5">
    <w:abstractNumId w:val="2"/>
  </w:num>
  <w:num w:numId="6">
    <w:abstractNumId w:val="1"/>
  </w:num>
  <w:num w:numId="7">
    <w:abstractNumId w:val="0"/>
  </w:num>
  <w:num w:numId="8">
    <w:abstractNumId w:val="19"/>
  </w:num>
  <w:num w:numId="9">
    <w:abstractNumId w:val="9"/>
  </w:num>
  <w:num w:numId="10">
    <w:abstractNumId w:val="23"/>
  </w:num>
  <w:num w:numId="11">
    <w:abstractNumId w:val="21"/>
  </w:num>
  <w:num w:numId="12">
    <w:abstractNumId w:val="22"/>
  </w:num>
  <w:num w:numId="13">
    <w:abstractNumId w:val="7"/>
  </w:num>
  <w:num w:numId="14">
    <w:abstractNumId w:val="4"/>
  </w:num>
  <w:num w:numId="15">
    <w:abstractNumId w:val="5"/>
  </w:num>
  <w:num w:numId="16">
    <w:abstractNumId w:val="26"/>
  </w:num>
  <w:num w:numId="17">
    <w:abstractNumId w:val="10"/>
  </w:num>
  <w:num w:numId="18">
    <w:abstractNumId w:val="25"/>
  </w:num>
  <w:num w:numId="19">
    <w:abstractNumId w:val="11"/>
  </w:num>
  <w:num w:numId="20">
    <w:abstractNumId w:val="13"/>
  </w:num>
  <w:num w:numId="21">
    <w:abstractNumId w:val="14"/>
  </w:num>
  <w:num w:numId="22">
    <w:abstractNumId w:val="17"/>
  </w:num>
  <w:num w:numId="23">
    <w:abstractNumId w:val="6"/>
  </w:num>
  <w:num w:numId="24">
    <w:abstractNumId w:val="12"/>
  </w:num>
  <w:num w:numId="25">
    <w:abstractNumId w:val="20"/>
  </w:num>
  <w:num w:numId="26">
    <w:abstractNumId w:val="16"/>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attachedTemplate r:id="rId1"/>
  <w:doNotTrackMoves/>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66">
      <o:colormenu v:ext="edit" fillcolor="none"/>
    </o:shapedefaults>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5B34"/>
    <w:rsid w:val="0003638F"/>
    <w:rsid w:val="00041689"/>
    <w:rsid w:val="000423F7"/>
    <w:rsid w:val="00042C4B"/>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8AC"/>
    <w:rsid w:val="000609F8"/>
    <w:rsid w:val="00060FD3"/>
    <w:rsid w:val="00061C59"/>
    <w:rsid w:val="0006260B"/>
    <w:rsid w:val="00063778"/>
    <w:rsid w:val="00063EED"/>
    <w:rsid w:val="00065399"/>
    <w:rsid w:val="000658DA"/>
    <w:rsid w:val="00067D54"/>
    <w:rsid w:val="00070498"/>
    <w:rsid w:val="00070A40"/>
    <w:rsid w:val="00071A6D"/>
    <w:rsid w:val="00074BE2"/>
    <w:rsid w:val="00074D3E"/>
    <w:rsid w:val="00074EF0"/>
    <w:rsid w:val="000763AE"/>
    <w:rsid w:val="00076773"/>
    <w:rsid w:val="00077FCF"/>
    <w:rsid w:val="0008002F"/>
    <w:rsid w:val="000800C1"/>
    <w:rsid w:val="000810B7"/>
    <w:rsid w:val="00081511"/>
    <w:rsid w:val="0008242D"/>
    <w:rsid w:val="00082D22"/>
    <w:rsid w:val="00083C07"/>
    <w:rsid w:val="000840A9"/>
    <w:rsid w:val="0008445E"/>
    <w:rsid w:val="00085A86"/>
    <w:rsid w:val="00085F52"/>
    <w:rsid w:val="000913EF"/>
    <w:rsid w:val="00092C2F"/>
    <w:rsid w:val="00092FB4"/>
    <w:rsid w:val="00093F6F"/>
    <w:rsid w:val="00095273"/>
    <w:rsid w:val="00095766"/>
    <w:rsid w:val="00095D48"/>
    <w:rsid w:val="00096138"/>
    <w:rsid w:val="00096994"/>
    <w:rsid w:val="000A06AE"/>
    <w:rsid w:val="000A1A93"/>
    <w:rsid w:val="000A2300"/>
    <w:rsid w:val="000A2929"/>
    <w:rsid w:val="000A33DD"/>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5858"/>
    <w:rsid w:val="000B63E2"/>
    <w:rsid w:val="000C279F"/>
    <w:rsid w:val="000C2AE0"/>
    <w:rsid w:val="000C350F"/>
    <w:rsid w:val="000C473F"/>
    <w:rsid w:val="000C4A1C"/>
    <w:rsid w:val="000C6111"/>
    <w:rsid w:val="000C731A"/>
    <w:rsid w:val="000D0520"/>
    <w:rsid w:val="000D11E1"/>
    <w:rsid w:val="000D448C"/>
    <w:rsid w:val="000D4A9C"/>
    <w:rsid w:val="000D5CB9"/>
    <w:rsid w:val="000D64AA"/>
    <w:rsid w:val="000D6981"/>
    <w:rsid w:val="000D6A34"/>
    <w:rsid w:val="000D6D0F"/>
    <w:rsid w:val="000D73B1"/>
    <w:rsid w:val="000E056D"/>
    <w:rsid w:val="000E1C4C"/>
    <w:rsid w:val="000E2802"/>
    <w:rsid w:val="000E2EE7"/>
    <w:rsid w:val="000E494A"/>
    <w:rsid w:val="000E4977"/>
    <w:rsid w:val="000E4BC8"/>
    <w:rsid w:val="000E4E90"/>
    <w:rsid w:val="000E7200"/>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A92"/>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EE"/>
    <w:rsid w:val="001220F9"/>
    <w:rsid w:val="00122657"/>
    <w:rsid w:val="001237FA"/>
    <w:rsid w:val="001240FE"/>
    <w:rsid w:val="00124C2C"/>
    <w:rsid w:val="0012520B"/>
    <w:rsid w:val="00125AAF"/>
    <w:rsid w:val="001265E3"/>
    <w:rsid w:val="00126D67"/>
    <w:rsid w:val="001276CD"/>
    <w:rsid w:val="00127793"/>
    <w:rsid w:val="0012786F"/>
    <w:rsid w:val="0013000B"/>
    <w:rsid w:val="001301A3"/>
    <w:rsid w:val="001318BF"/>
    <w:rsid w:val="00132633"/>
    <w:rsid w:val="00134204"/>
    <w:rsid w:val="001351DC"/>
    <w:rsid w:val="0013541C"/>
    <w:rsid w:val="00136609"/>
    <w:rsid w:val="001401D2"/>
    <w:rsid w:val="0014076A"/>
    <w:rsid w:val="00140AC5"/>
    <w:rsid w:val="00140FE3"/>
    <w:rsid w:val="0014186C"/>
    <w:rsid w:val="00142068"/>
    <w:rsid w:val="001422DD"/>
    <w:rsid w:val="001422EF"/>
    <w:rsid w:val="00143536"/>
    <w:rsid w:val="001436A7"/>
    <w:rsid w:val="00143F8D"/>
    <w:rsid w:val="00144924"/>
    <w:rsid w:val="001449C4"/>
    <w:rsid w:val="00144AB9"/>
    <w:rsid w:val="00145A3B"/>
    <w:rsid w:val="0014669B"/>
    <w:rsid w:val="001467D8"/>
    <w:rsid w:val="001479BC"/>
    <w:rsid w:val="001501A6"/>
    <w:rsid w:val="00151810"/>
    <w:rsid w:val="001525D9"/>
    <w:rsid w:val="00152F08"/>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4A00"/>
    <w:rsid w:val="00177BB1"/>
    <w:rsid w:val="0018135B"/>
    <w:rsid w:val="001818B4"/>
    <w:rsid w:val="00182BBC"/>
    <w:rsid w:val="0018415B"/>
    <w:rsid w:val="001842C7"/>
    <w:rsid w:val="0018597E"/>
    <w:rsid w:val="00186710"/>
    <w:rsid w:val="00186E41"/>
    <w:rsid w:val="001873C1"/>
    <w:rsid w:val="00187683"/>
    <w:rsid w:val="00187A76"/>
    <w:rsid w:val="001901B0"/>
    <w:rsid w:val="00190F04"/>
    <w:rsid w:val="001910BE"/>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21AF"/>
    <w:rsid w:val="001B4311"/>
    <w:rsid w:val="001B4B72"/>
    <w:rsid w:val="001B6930"/>
    <w:rsid w:val="001B7A88"/>
    <w:rsid w:val="001B7DA5"/>
    <w:rsid w:val="001C03EB"/>
    <w:rsid w:val="001C0630"/>
    <w:rsid w:val="001C0BC1"/>
    <w:rsid w:val="001C0D56"/>
    <w:rsid w:val="001C2713"/>
    <w:rsid w:val="001C3177"/>
    <w:rsid w:val="001C317B"/>
    <w:rsid w:val="001C4779"/>
    <w:rsid w:val="001C4982"/>
    <w:rsid w:val="001C566C"/>
    <w:rsid w:val="001C5F83"/>
    <w:rsid w:val="001C6ABC"/>
    <w:rsid w:val="001C6F73"/>
    <w:rsid w:val="001D0303"/>
    <w:rsid w:val="001D03FC"/>
    <w:rsid w:val="001D04F9"/>
    <w:rsid w:val="001D088F"/>
    <w:rsid w:val="001D0BC4"/>
    <w:rsid w:val="001D0EE4"/>
    <w:rsid w:val="001D136E"/>
    <w:rsid w:val="001D221F"/>
    <w:rsid w:val="001D34C1"/>
    <w:rsid w:val="001D38AA"/>
    <w:rsid w:val="001D4250"/>
    <w:rsid w:val="001D4513"/>
    <w:rsid w:val="001D67FD"/>
    <w:rsid w:val="001D6949"/>
    <w:rsid w:val="001E0F2C"/>
    <w:rsid w:val="001E176B"/>
    <w:rsid w:val="001E1A47"/>
    <w:rsid w:val="001E23B7"/>
    <w:rsid w:val="001E280D"/>
    <w:rsid w:val="001E28CD"/>
    <w:rsid w:val="001E3193"/>
    <w:rsid w:val="001E3C91"/>
    <w:rsid w:val="001E6378"/>
    <w:rsid w:val="001E674D"/>
    <w:rsid w:val="001E6844"/>
    <w:rsid w:val="001E69CE"/>
    <w:rsid w:val="001F02AA"/>
    <w:rsid w:val="001F060E"/>
    <w:rsid w:val="001F229C"/>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080"/>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31D"/>
    <w:rsid w:val="00244667"/>
    <w:rsid w:val="00244EF6"/>
    <w:rsid w:val="00247380"/>
    <w:rsid w:val="00247825"/>
    <w:rsid w:val="00250171"/>
    <w:rsid w:val="00250C61"/>
    <w:rsid w:val="00250EA8"/>
    <w:rsid w:val="0025182D"/>
    <w:rsid w:val="00254DB5"/>
    <w:rsid w:val="002566DB"/>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6709C"/>
    <w:rsid w:val="002700F8"/>
    <w:rsid w:val="0027046C"/>
    <w:rsid w:val="00270574"/>
    <w:rsid w:val="002705E1"/>
    <w:rsid w:val="00270B80"/>
    <w:rsid w:val="00270C35"/>
    <w:rsid w:val="00271AC5"/>
    <w:rsid w:val="002738A8"/>
    <w:rsid w:val="00274428"/>
    <w:rsid w:val="002745C3"/>
    <w:rsid w:val="00274761"/>
    <w:rsid w:val="002750A1"/>
    <w:rsid w:val="0027566D"/>
    <w:rsid w:val="002762F1"/>
    <w:rsid w:val="0027668C"/>
    <w:rsid w:val="002779A4"/>
    <w:rsid w:val="00280941"/>
    <w:rsid w:val="00281C86"/>
    <w:rsid w:val="00283095"/>
    <w:rsid w:val="0028316A"/>
    <w:rsid w:val="00284620"/>
    <w:rsid w:val="00284F96"/>
    <w:rsid w:val="0028545B"/>
    <w:rsid w:val="00286D75"/>
    <w:rsid w:val="00286E4C"/>
    <w:rsid w:val="002917EA"/>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645F"/>
    <w:rsid w:val="002C7253"/>
    <w:rsid w:val="002C7F99"/>
    <w:rsid w:val="002D06C9"/>
    <w:rsid w:val="002D101D"/>
    <w:rsid w:val="002D1806"/>
    <w:rsid w:val="002D18B7"/>
    <w:rsid w:val="002D29CF"/>
    <w:rsid w:val="002D2E09"/>
    <w:rsid w:val="002D2FDB"/>
    <w:rsid w:val="002D3851"/>
    <w:rsid w:val="002D5F80"/>
    <w:rsid w:val="002D7BA8"/>
    <w:rsid w:val="002E0904"/>
    <w:rsid w:val="002E10D9"/>
    <w:rsid w:val="002E138C"/>
    <w:rsid w:val="002E294B"/>
    <w:rsid w:val="002E323D"/>
    <w:rsid w:val="002E332D"/>
    <w:rsid w:val="002E5E5B"/>
    <w:rsid w:val="002E6070"/>
    <w:rsid w:val="002E642F"/>
    <w:rsid w:val="002E6782"/>
    <w:rsid w:val="002E70DA"/>
    <w:rsid w:val="002E7132"/>
    <w:rsid w:val="002E7D59"/>
    <w:rsid w:val="002E7F8C"/>
    <w:rsid w:val="002F0919"/>
    <w:rsid w:val="002F1202"/>
    <w:rsid w:val="002F122A"/>
    <w:rsid w:val="002F17CA"/>
    <w:rsid w:val="002F2CAF"/>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981"/>
    <w:rsid w:val="0033013D"/>
    <w:rsid w:val="00330581"/>
    <w:rsid w:val="00331047"/>
    <w:rsid w:val="0033168D"/>
    <w:rsid w:val="00332A43"/>
    <w:rsid w:val="00332DF9"/>
    <w:rsid w:val="00332EF3"/>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6751"/>
    <w:rsid w:val="0034737B"/>
    <w:rsid w:val="00347B1F"/>
    <w:rsid w:val="00350DC4"/>
    <w:rsid w:val="00351E0C"/>
    <w:rsid w:val="0035489F"/>
    <w:rsid w:val="0035668F"/>
    <w:rsid w:val="00356719"/>
    <w:rsid w:val="003575A6"/>
    <w:rsid w:val="0035763D"/>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4F6"/>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151C"/>
    <w:rsid w:val="00392F27"/>
    <w:rsid w:val="003930DD"/>
    <w:rsid w:val="00393A56"/>
    <w:rsid w:val="00393BAE"/>
    <w:rsid w:val="003941F0"/>
    <w:rsid w:val="00395EAE"/>
    <w:rsid w:val="0039680C"/>
    <w:rsid w:val="00396DA3"/>
    <w:rsid w:val="003977CF"/>
    <w:rsid w:val="003A037A"/>
    <w:rsid w:val="003A066A"/>
    <w:rsid w:val="003A30C5"/>
    <w:rsid w:val="003A3636"/>
    <w:rsid w:val="003A3FE7"/>
    <w:rsid w:val="003A3FF5"/>
    <w:rsid w:val="003A4571"/>
    <w:rsid w:val="003A4A96"/>
    <w:rsid w:val="003A6428"/>
    <w:rsid w:val="003A7089"/>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B1D"/>
    <w:rsid w:val="003C5E75"/>
    <w:rsid w:val="003C5EBB"/>
    <w:rsid w:val="003C6540"/>
    <w:rsid w:val="003C692A"/>
    <w:rsid w:val="003C6EA2"/>
    <w:rsid w:val="003D222B"/>
    <w:rsid w:val="003D3F2D"/>
    <w:rsid w:val="003D4183"/>
    <w:rsid w:val="003D4520"/>
    <w:rsid w:val="003D6A67"/>
    <w:rsid w:val="003D7788"/>
    <w:rsid w:val="003E039C"/>
    <w:rsid w:val="003E1312"/>
    <w:rsid w:val="003E159F"/>
    <w:rsid w:val="003E1F47"/>
    <w:rsid w:val="003E2FED"/>
    <w:rsid w:val="003E3C77"/>
    <w:rsid w:val="003E42F1"/>
    <w:rsid w:val="003E4F87"/>
    <w:rsid w:val="003E564B"/>
    <w:rsid w:val="003E5CD8"/>
    <w:rsid w:val="003E6963"/>
    <w:rsid w:val="003E7641"/>
    <w:rsid w:val="003E7D0F"/>
    <w:rsid w:val="003E7DA2"/>
    <w:rsid w:val="003E7EEC"/>
    <w:rsid w:val="003F0D66"/>
    <w:rsid w:val="003F15AF"/>
    <w:rsid w:val="003F1612"/>
    <w:rsid w:val="003F1E63"/>
    <w:rsid w:val="003F2684"/>
    <w:rsid w:val="003F5231"/>
    <w:rsid w:val="003F53D3"/>
    <w:rsid w:val="003F5737"/>
    <w:rsid w:val="003F75E0"/>
    <w:rsid w:val="00400630"/>
    <w:rsid w:val="00400836"/>
    <w:rsid w:val="00400C7A"/>
    <w:rsid w:val="00403DF5"/>
    <w:rsid w:val="00403F5F"/>
    <w:rsid w:val="00404EDB"/>
    <w:rsid w:val="0040508F"/>
    <w:rsid w:val="00406C72"/>
    <w:rsid w:val="00407000"/>
    <w:rsid w:val="00407502"/>
    <w:rsid w:val="00407D98"/>
    <w:rsid w:val="00410FC4"/>
    <w:rsid w:val="00411258"/>
    <w:rsid w:val="00411E08"/>
    <w:rsid w:val="00411F04"/>
    <w:rsid w:val="004120A4"/>
    <w:rsid w:val="00412B7B"/>
    <w:rsid w:val="00415A56"/>
    <w:rsid w:val="004162A5"/>
    <w:rsid w:val="004163BD"/>
    <w:rsid w:val="00416554"/>
    <w:rsid w:val="00416CF2"/>
    <w:rsid w:val="00416D9F"/>
    <w:rsid w:val="0041702F"/>
    <w:rsid w:val="0041752B"/>
    <w:rsid w:val="00417571"/>
    <w:rsid w:val="00421891"/>
    <w:rsid w:val="00421CF7"/>
    <w:rsid w:val="00422FA3"/>
    <w:rsid w:val="004241A5"/>
    <w:rsid w:val="0042516B"/>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97"/>
    <w:rsid w:val="00434DF2"/>
    <w:rsid w:val="00435235"/>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8BD"/>
    <w:rsid w:val="004619F1"/>
    <w:rsid w:val="00462633"/>
    <w:rsid w:val="004636D4"/>
    <w:rsid w:val="00463A51"/>
    <w:rsid w:val="00463A66"/>
    <w:rsid w:val="0046468E"/>
    <w:rsid w:val="00464974"/>
    <w:rsid w:val="004650D3"/>
    <w:rsid w:val="00465594"/>
    <w:rsid w:val="00465B29"/>
    <w:rsid w:val="0046618E"/>
    <w:rsid w:val="0047001D"/>
    <w:rsid w:val="004704F1"/>
    <w:rsid w:val="00470569"/>
    <w:rsid w:val="00470890"/>
    <w:rsid w:val="00470AE9"/>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5F77"/>
    <w:rsid w:val="004865E7"/>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CA9"/>
    <w:rsid w:val="004A0EBB"/>
    <w:rsid w:val="004A1537"/>
    <w:rsid w:val="004A15DD"/>
    <w:rsid w:val="004A1839"/>
    <w:rsid w:val="004A1AC2"/>
    <w:rsid w:val="004A1B2A"/>
    <w:rsid w:val="004A2B4F"/>
    <w:rsid w:val="004A3078"/>
    <w:rsid w:val="004A4507"/>
    <w:rsid w:val="004A6262"/>
    <w:rsid w:val="004A7836"/>
    <w:rsid w:val="004A7865"/>
    <w:rsid w:val="004B026B"/>
    <w:rsid w:val="004B0360"/>
    <w:rsid w:val="004B265F"/>
    <w:rsid w:val="004B4C72"/>
    <w:rsid w:val="004B4CA1"/>
    <w:rsid w:val="004B56FA"/>
    <w:rsid w:val="004B6D96"/>
    <w:rsid w:val="004B7180"/>
    <w:rsid w:val="004C094E"/>
    <w:rsid w:val="004C0B8E"/>
    <w:rsid w:val="004C135E"/>
    <w:rsid w:val="004C25A1"/>
    <w:rsid w:val="004C3C10"/>
    <w:rsid w:val="004C4B49"/>
    <w:rsid w:val="004C5757"/>
    <w:rsid w:val="004C5A0E"/>
    <w:rsid w:val="004C6165"/>
    <w:rsid w:val="004D0A8D"/>
    <w:rsid w:val="004D19CA"/>
    <w:rsid w:val="004D286F"/>
    <w:rsid w:val="004D4BA1"/>
    <w:rsid w:val="004D6321"/>
    <w:rsid w:val="004D6BA5"/>
    <w:rsid w:val="004D79B2"/>
    <w:rsid w:val="004E064B"/>
    <w:rsid w:val="004E15D7"/>
    <w:rsid w:val="004E2EF7"/>
    <w:rsid w:val="004E314B"/>
    <w:rsid w:val="004E3616"/>
    <w:rsid w:val="004E3F97"/>
    <w:rsid w:val="004E4BB9"/>
    <w:rsid w:val="004E56A8"/>
    <w:rsid w:val="004E58FF"/>
    <w:rsid w:val="004E5E0F"/>
    <w:rsid w:val="004E5F1B"/>
    <w:rsid w:val="004E6F4F"/>
    <w:rsid w:val="004E7896"/>
    <w:rsid w:val="004F01B1"/>
    <w:rsid w:val="004F0C47"/>
    <w:rsid w:val="004F3344"/>
    <w:rsid w:val="004F5A78"/>
    <w:rsid w:val="004F5C78"/>
    <w:rsid w:val="004F6125"/>
    <w:rsid w:val="004F6481"/>
    <w:rsid w:val="0050122E"/>
    <w:rsid w:val="00502A49"/>
    <w:rsid w:val="0050303E"/>
    <w:rsid w:val="005059C2"/>
    <w:rsid w:val="00505F70"/>
    <w:rsid w:val="0050616E"/>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E99"/>
    <w:rsid w:val="00517293"/>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DB4"/>
    <w:rsid w:val="00534EC0"/>
    <w:rsid w:val="00536E41"/>
    <w:rsid w:val="0053713C"/>
    <w:rsid w:val="00537C8D"/>
    <w:rsid w:val="005411B7"/>
    <w:rsid w:val="00542EF9"/>
    <w:rsid w:val="00543723"/>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DF"/>
    <w:rsid w:val="0057542C"/>
    <w:rsid w:val="00575532"/>
    <w:rsid w:val="00575BCF"/>
    <w:rsid w:val="00576B96"/>
    <w:rsid w:val="00577DF5"/>
    <w:rsid w:val="00580EBE"/>
    <w:rsid w:val="0058221C"/>
    <w:rsid w:val="00582455"/>
    <w:rsid w:val="00582484"/>
    <w:rsid w:val="005828C2"/>
    <w:rsid w:val="00582993"/>
    <w:rsid w:val="00582D51"/>
    <w:rsid w:val="00582ECD"/>
    <w:rsid w:val="0058372D"/>
    <w:rsid w:val="00587681"/>
    <w:rsid w:val="00587ACB"/>
    <w:rsid w:val="00590900"/>
    <w:rsid w:val="005912B0"/>
    <w:rsid w:val="00591928"/>
    <w:rsid w:val="00592358"/>
    <w:rsid w:val="00592D64"/>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5A44"/>
    <w:rsid w:val="005B62CF"/>
    <w:rsid w:val="005B6807"/>
    <w:rsid w:val="005B7781"/>
    <w:rsid w:val="005B7972"/>
    <w:rsid w:val="005C0A19"/>
    <w:rsid w:val="005C16EE"/>
    <w:rsid w:val="005C2C57"/>
    <w:rsid w:val="005C3C96"/>
    <w:rsid w:val="005C565D"/>
    <w:rsid w:val="005C57FA"/>
    <w:rsid w:val="005C6CED"/>
    <w:rsid w:val="005C77F7"/>
    <w:rsid w:val="005D05FE"/>
    <w:rsid w:val="005D0E3E"/>
    <w:rsid w:val="005D1CBE"/>
    <w:rsid w:val="005D2572"/>
    <w:rsid w:val="005D3C0B"/>
    <w:rsid w:val="005D5586"/>
    <w:rsid w:val="005D615E"/>
    <w:rsid w:val="005D6589"/>
    <w:rsid w:val="005D73AB"/>
    <w:rsid w:val="005E0A2C"/>
    <w:rsid w:val="005E0D08"/>
    <w:rsid w:val="005E2B74"/>
    <w:rsid w:val="005E3B22"/>
    <w:rsid w:val="005E4652"/>
    <w:rsid w:val="005E68B4"/>
    <w:rsid w:val="005E6E6A"/>
    <w:rsid w:val="005E7651"/>
    <w:rsid w:val="005E792D"/>
    <w:rsid w:val="005E7DC5"/>
    <w:rsid w:val="005F087F"/>
    <w:rsid w:val="005F141F"/>
    <w:rsid w:val="005F1AB5"/>
    <w:rsid w:val="005F2724"/>
    <w:rsid w:val="005F2DDE"/>
    <w:rsid w:val="005F3F5D"/>
    <w:rsid w:val="005F6E37"/>
    <w:rsid w:val="005F6F10"/>
    <w:rsid w:val="005F7186"/>
    <w:rsid w:val="005F7DF3"/>
    <w:rsid w:val="006000CF"/>
    <w:rsid w:val="0060028A"/>
    <w:rsid w:val="006011EF"/>
    <w:rsid w:val="00602486"/>
    <w:rsid w:val="00602834"/>
    <w:rsid w:val="006038BC"/>
    <w:rsid w:val="00603A84"/>
    <w:rsid w:val="00604440"/>
    <w:rsid w:val="00605C8B"/>
    <w:rsid w:val="006064D7"/>
    <w:rsid w:val="006070F5"/>
    <w:rsid w:val="006075B2"/>
    <w:rsid w:val="00610737"/>
    <w:rsid w:val="00610E3E"/>
    <w:rsid w:val="0061134D"/>
    <w:rsid w:val="006118BE"/>
    <w:rsid w:val="00612E04"/>
    <w:rsid w:val="00613C99"/>
    <w:rsid w:val="00613D60"/>
    <w:rsid w:val="00613D8B"/>
    <w:rsid w:val="006143D6"/>
    <w:rsid w:val="00616D50"/>
    <w:rsid w:val="00617B9D"/>
    <w:rsid w:val="00617DD9"/>
    <w:rsid w:val="00620713"/>
    <w:rsid w:val="006207A4"/>
    <w:rsid w:val="00620BC0"/>
    <w:rsid w:val="006230DB"/>
    <w:rsid w:val="0062381D"/>
    <w:rsid w:val="00623C41"/>
    <w:rsid w:val="00625C99"/>
    <w:rsid w:val="006263A8"/>
    <w:rsid w:val="006267DC"/>
    <w:rsid w:val="006277D2"/>
    <w:rsid w:val="00630C0C"/>
    <w:rsid w:val="00631ACF"/>
    <w:rsid w:val="00632941"/>
    <w:rsid w:val="006340F3"/>
    <w:rsid w:val="006343F8"/>
    <w:rsid w:val="006348F5"/>
    <w:rsid w:val="00634A0F"/>
    <w:rsid w:val="00634DA1"/>
    <w:rsid w:val="00636E0F"/>
    <w:rsid w:val="006372E9"/>
    <w:rsid w:val="00637692"/>
    <w:rsid w:val="00637A15"/>
    <w:rsid w:val="00637BA9"/>
    <w:rsid w:val="0064028E"/>
    <w:rsid w:val="00640789"/>
    <w:rsid w:val="00641076"/>
    <w:rsid w:val="0064146D"/>
    <w:rsid w:val="00642C22"/>
    <w:rsid w:val="006435DF"/>
    <w:rsid w:val="00643633"/>
    <w:rsid w:val="00643EA7"/>
    <w:rsid w:val="0064477C"/>
    <w:rsid w:val="00644F28"/>
    <w:rsid w:val="00646CC3"/>
    <w:rsid w:val="00646F4B"/>
    <w:rsid w:val="0064710B"/>
    <w:rsid w:val="0065010C"/>
    <w:rsid w:val="006506DE"/>
    <w:rsid w:val="00650B3E"/>
    <w:rsid w:val="00651C37"/>
    <w:rsid w:val="006528B4"/>
    <w:rsid w:val="00652D00"/>
    <w:rsid w:val="0065337F"/>
    <w:rsid w:val="0065402C"/>
    <w:rsid w:val="00657F0B"/>
    <w:rsid w:val="0066316E"/>
    <w:rsid w:val="006652CC"/>
    <w:rsid w:val="0066655D"/>
    <w:rsid w:val="00666A79"/>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3E53"/>
    <w:rsid w:val="006845E3"/>
    <w:rsid w:val="0068491A"/>
    <w:rsid w:val="006849FF"/>
    <w:rsid w:val="00685609"/>
    <w:rsid w:val="006872B5"/>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51B0"/>
    <w:rsid w:val="006D6033"/>
    <w:rsid w:val="006D708F"/>
    <w:rsid w:val="006D73A2"/>
    <w:rsid w:val="006E0846"/>
    <w:rsid w:val="006E0986"/>
    <w:rsid w:val="006E0AA3"/>
    <w:rsid w:val="006E1F47"/>
    <w:rsid w:val="006E41A4"/>
    <w:rsid w:val="006E4453"/>
    <w:rsid w:val="006E5EC3"/>
    <w:rsid w:val="006E5F98"/>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6F7D"/>
    <w:rsid w:val="006F735B"/>
    <w:rsid w:val="00701EF6"/>
    <w:rsid w:val="00702743"/>
    <w:rsid w:val="00702BC2"/>
    <w:rsid w:val="00703B8C"/>
    <w:rsid w:val="00703C82"/>
    <w:rsid w:val="007044AC"/>
    <w:rsid w:val="00704AB4"/>
    <w:rsid w:val="00704CE0"/>
    <w:rsid w:val="0070624B"/>
    <w:rsid w:val="00706D9B"/>
    <w:rsid w:val="00707A03"/>
    <w:rsid w:val="00710101"/>
    <w:rsid w:val="0071056C"/>
    <w:rsid w:val="007110F7"/>
    <w:rsid w:val="00711BB9"/>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17DB"/>
    <w:rsid w:val="00731C33"/>
    <w:rsid w:val="00731CD0"/>
    <w:rsid w:val="00732000"/>
    <w:rsid w:val="00736688"/>
    <w:rsid w:val="007404EA"/>
    <w:rsid w:val="0074112B"/>
    <w:rsid w:val="00742237"/>
    <w:rsid w:val="00742DE4"/>
    <w:rsid w:val="007452DF"/>
    <w:rsid w:val="007460EB"/>
    <w:rsid w:val="00747A13"/>
    <w:rsid w:val="00747F7F"/>
    <w:rsid w:val="00747FD1"/>
    <w:rsid w:val="007515B2"/>
    <w:rsid w:val="007517AE"/>
    <w:rsid w:val="00752735"/>
    <w:rsid w:val="00752BB0"/>
    <w:rsid w:val="007544BD"/>
    <w:rsid w:val="00754E3B"/>
    <w:rsid w:val="00755401"/>
    <w:rsid w:val="00756BEF"/>
    <w:rsid w:val="007601BC"/>
    <w:rsid w:val="007605AB"/>
    <w:rsid w:val="00761E4F"/>
    <w:rsid w:val="00761FC7"/>
    <w:rsid w:val="00762932"/>
    <w:rsid w:val="007633BA"/>
    <w:rsid w:val="007639DF"/>
    <w:rsid w:val="00765774"/>
    <w:rsid w:val="00765C6B"/>
    <w:rsid w:val="00766127"/>
    <w:rsid w:val="00767E96"/>
    <w:rsid w:val="00770351"/>
    <w:rsid w:val="00770523"/>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4F2"/>
    <w:rsid w:val="00796AA9"/>
    <w:rsid w:val="00796B6B"/>
    <w:rsid w:val="00797040"/>
    <w:rsid w:val="0079792F"/>
    <w:rsid w:val="007A0A86"/>
    <w:rsid w:val="007A1604"/>
    <w:rsid w:val="007A273A"/>
    <w:rsid w:val="007A2931"/>
    <w:rsid w:val="007A2B27"/>
    <w:rsid w:val="007A7435"/>
    <w:rsid w:val="007A77B9"/>
    <w:rsid w:val="007B096C"/>
    <w:rsid w:val="007B1509"/>
    <w:rsid w:val="007B1768"/>
    <w:rsid w:val="007B1C08"/>
    <w:rsid w:val="007B29CB"/>
    <w:rsid w:val="007B2CFB"/>
    <w:rsid w:val="007B3289"/>
    <w:rsid w:val="007B3972"/>
    <w:rsid w:val="007B39AA"/>
    <w:rsid w:val="007B4D86"/>
    <w:rsid w:val="007B5043"/>
    <w:rsid w:val="007B5059"/>
    <w:rsid w:val="007B79DC"/>
    <w:rsid w:val="007C012D"/>
    <w:rsid w:val="007C1DDF"/>
    <w:rsid w:val="007C2BD1"/>
    <w:rsid w:val="007C3299"/>
    <w:rsid w:val="007C367B"/>
    <w:rsid w:val="007C427E"/>
    <w:rsid w:val="007C42E2"/>
    <w:rsid w:val="007C4548"/>
    <w:rsid w:val="007C4A40"/>
    <w:rsid w:val="007C6031"/>
    <w:rsid w:val="007D209C"/>
    <w:rsid w:val="007D3F2C"/>
    <w:rsid w:val="007D451C"/>
    <w:rsid w:val="007D4781"/>
    <w:rsid w:val="007D4ECB"/>
    <w:rsid w:val="007D6550"/>
    <w:rsid w:val="007D65ED"/>
    <w:rsid w:val="007D6FA6"/>
    <w:rsid w:val="007E2AD8"/>
    <w:rsid w:val="007E2B1C"/>
    <w:rsid w:val="007E4290"/>
    <w:rsid w:val="007E44B4"/>
    <w:rsid w:val="007E4F2E"/>
    <w:rsid w:val="007E566B"/>
    <w:rsid w:val="007E5E8A"/>
    <w:rsid w:val="007E637B"/>
    <w:rsid w:val="007E638E"/>
    <w:rsid w:val="007E6ACE"/>
    <w:rsid w:val="007E6BE6"/>
    <w:rsid w:val="007E798E"/>
    <w:rsid w:val="007F015D"/>
    <w:rsid w:val="007F0DC3"/>
    <w:rsid w:val="007F19D3"/>
    <w:rsid w:val="007F2015"/>
    <w:rsid w:val="007F2AA5"/>
    <w:rsid w:val="007F4154"/>
    <w:rsid w:val="007F465A"/>
    <w:rsid w:val="007F480F"/>
    <w:rsid w:val="007F4C9F"/>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361"/>
    <w:rsid w:val="008162F3"/>
    <w:rsid w:val="008218D4"/>
    <w:rsid w:val="00822159"/>
    <w:rsid w:val="0082269C"/>
    <w:rsid w:val="008228D2"/>
    <w:rsid w:val="00823CC7"/>
    <w:rsid w:val="008246C6"/>
    <w:rsid w:val="008258F5"/>
    <w:rsid w:val="008258F8"/>
    <w:rsid w:val="00827741"/>
    <w:rsid w:val="00827B0D"/>
    <w:rsid w:val="008305E9"/>
    <w:rsid w:val="0083103E"/>
    <w:rsid w:val="00831C78"/>
    <w:rsid w:val="00832004"/>
    <w:rsid w:val="008326C1"/>
    <w:rsid w:val="00832A52"/>
    <w:rsid w:val="00832F22"/>
    <w:rsid w:val="00833D43"/>
    <w:rsid w:val="00834693"/>
    <w:rsid w:val="00835282"/>
    <w:rsid w:val="008359D7"/>
    <w:rsid w:val="008364D0"/>
    <w:rsid w:val="00840104"/>
    <w:rsid w:val="00842390"/>
    <w:rsid w:val="008440A3"/>
    <w:rsid w:val="00844484"/>
    <w:rsid w:val="00844AB1"/>
    <w:rsid w:val="00844B99"/>
    <w:rsid w:val="0084540C"/>
    <w:rsid w:val="00845637"/>
    <w:rsid w:val="00845E45"/>
    <w:rsid w:val="008475D9"/>
    <w:rsid w:val="008505BE"/>
    <w:rsid w:val="00850B20"/>
    <w:rsid w:val="00851A61"/>
    <w:rsid w:val="00851E54"/>
    <w:rsid w:val="00851FFA"/>
    <w:rsid w:val="008538D5"/>
    <w:rsid w:val="00854543"/>
    <w:rsid w:val="00854A18"/>
    <w:rsid w:val="008554FB"/>
    <w:rsid w:val="008556F0"/>
    <w:rsid w:val="00857116"/>
    <w:rsid w:val="0086180E"/>
    <w:rsid w:val="0086257E"/>
    <w:rsid w:val="0086338B"/>
    <w:rsid w:val="00863FD2"/>
    <w:rsid w:val="008655CB"/>
    <w:rsid w:val="008657BF"/>
    <w:rsid w:val="00866E51"/>
    <w:rsid w:val="00867F6C"/>
    <w:rsid w:val="00870B54"/>
    <w:rsid w:val="00870BA5"/>
    <w:rsid w:val="0087282B"/>
    <w:rsid w:val="00872858"/>
    <w:rsid w:val="0087285B"/>
    <w:rsid w:val="00872E80"/>
    <w:rsid w:val="00872EE4"/>
    <w:rsid w:val="00873053"/>
    <w:rsid w:val="00873F7F"/>
    <w:rsid w:val="00875A5C"/>
    <w:rsid w:val="00880231"/>
    <w:rsid w:val="00881674"/>
    <w:rsid w:val="0088368C"/>
    <w:rsid w:val="00884946"/>
    <w:rsid w:val="0088677B"/>
    <w:rsid w:val="00887E5D"/>
    <w:rsid w:val="00890358"/>
    <w:rsid w:val="0089100E"/>
    <w:rsid w:val="00893271"/>
    <w:rsid w:val="0089434F"/>
    <w:rsid w:val="008943C0"/>
    <w:rsid w:val="0089459F"/>
    <w:rsid w:val="00894AC6"/>
    <w:rsid w:val="00894B51"/>
    <w:rsid w:val="00894FDA"/>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4410"/>
    <w:rsid w:val="008C6644"/>
    <w:rsid w:val="008C6F7C"/>
    <w:rsid w:val="008C7C9C"/>
    <w:rsid w:val="008D0F60"/>
    <w:rsid w:val="008D15BA"/>
    <w:rsid w:val="008D2C5E"/>
    <w:rsid w:val="008D32B5"/>
    <w:rsid w:val="008D64CE"/>
    <w:rsid w:val="008D796D"/>
    <w:rsid w:val="008D7ADC"/>
    <w:rsid w:val="008D7DA5"/>
    <w:rsid w:val="008E0053"/>
    <w:rsid w:val="008E1C3B"/>
    <w:rsid w:val="008E22D3"/>
    <w:rsid w:val="008E2E71"/>
    <w:rsid w:val="008E51D8"/>
    <w:rsid w:val="008E54C4"/>
    <w:rsid w:val="008F0459"/>
    <w:rsid w:val="008F05A9"/>
    <w:rsid w:val="008F1010"/>
    <w:rsid w:val="008F2177"/>
    <w:rsid w:val="008F2CE0"/>
    <w:rsid w:val="008F4522"/>
    <w:rsid w:val="008F49D4"/>
    <w:rsid w:val="008F4AA6"/>
    <w:rsid w:val="008F6DD6"/>
    <w:rsid w:val="008F7E37"/>
    <w:rsid w:val="009001C3"/>
    <w:rsid w:val="00902DD7"/>
    <w:rsid w:val="0090429E"/>
    <w:rsid w:val="009047A0"/>
    <w:rsid w:val="00906519"/>
    <w:rsid w:val="00907257"/>
    <w:rsid w:val="00907755"/>
    <w:rsid w:val="00907D78"/>
    <w:rsid w:val="0091041C"/>
    <w:rsid w:val="009105CF"/>
    <w:rsid w:val="00910F5C"/>
    <w:rsid w:val="009116F5"/>
    <w:rsid w:val="00911E83"/>
    <w:rsid w:val="0091261C"/>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622"/>
    <w:rsid w:val="00924721"/>
    <w:rsid w:val="00925B8B"/>
    <w:rsid w:val="00925B90"/>
    <w:rsid w:val="009267BD"/>
    <w:rsid w:val="00926C6A"/>
    <w:rsid w:val="00930143"/>
    <w:rsid w:val="009311C9"/>
    <w:rsid w:val="009321BE"/>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38E3"/>
    <w:rsid w:val="00945326"/>
    <w:rsid w:val="0094608F"/>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652"/>
    <w:rsid w:val="00981EFB"/>
    <w:rsid w:val="00982B06"/>
    <w:rsid w:val="00982E12"/>
    <w:rsid w:val="009832DB"/>
    <w:rsid w:val="00983613"/>
    <w:rsid w:val="00984045"/>
    <w:rsid w:val="009848EA"/>
    <w:rsid w:val="00984D98"/>
    <w:rsid w:val="00985B0C"/>
    <w:rsid w:val="00986835"/>
    <w:rsid w:val="009873BE"/>
    <w:rsid w:val="00987E21"/>
    <w:rsid w:val="00990480"/>
    <w:rsid w:val="00990F0A"/>
    <w:rsid w:val="00991FFF"/>
    <w:rsid w:val="00992417"/>
    <w:rsid w:val="00994AA0"/>
    <w:rsid w:val="009953B3"/>
    <w:rsid w:val="009A0B13"/>
    <w:rsid w:val="009A105D"/>
    <w:rsid w:val="009A1642"/>
    <w:rsid w:val="009A1875"/>
    <w:rsid w:val="009A18F5"/>
    <w:rsid w:val="009A1E16"/>
    <w:rsid w:val="009A33C3"/>
    <w:rsid w:val="009A3CAD"/>
    <w:rsid w:val="009A4491"/>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0E4C"/>
    <w:rsid w:val="009B12B5"/>
    <w:rsid w:val="009B17A7"/>
    <w:rsid w:val="009B1868"/>
    <w:rsid w:val="009B1EA3"/>
    <w:rsid w:val="009B3918"/>
    <w:rsid w:val="009B3BB2"/>
    <w:rsid w:val="009B49F1"/>
    <w:rsid w:val="009B6DF7"/>
    <w:rsid w:val="009C0033"/>
    <w:rsid w:val="009C01D5"/>
    <w:rsid w:val="009C03EF"/>
    <w:rsid w:val="009C0A86"/>
    <w:rsid w:val="009C1A73"/>
    <w:rsid w:val="009C1B85"/>
    <w:rsid w:val="009C2923"/>
    <w:rsid w:val="009C370B"/>
    <w:rsid w:val="009C3AEA"/>
    <w:rsid w:val="009C3D23"/>
    <w:rsid w:val="009C538E"/>
    <w:rsid w:val="009C6D9D"/>
    <w:rsid w:val="009C79EF"/>
    <w:rsid w:val="009C7EB5"/>
    <w:rsid w:val="009D17D0"/>
    <w:rsid w:val="009D26D0"/>
    <w:rsid w:val="009D2B4F"/>
    <w:rsid w:val="009D53C9"/>
    <w:rsid w:val="009D54CD"/>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A8F"/>
    <w:rsid w:val="009E657E"/>
    <w:rsid w:val="009E6BF0"/>
    <w:rsid w:val="009E704F"/>
    <w:rsid w:val="009F0D71"/>
    <w:rsid w:val="009F374F"/>
    <w:rsid w:val="009F4F74"/>
    <w:rsid w:val="009F5133"/>
    <w:rsid w:val="009F5E00"/>
    <w:rsid w:val="00A001FC"/>
    <w:rsid w:val="00A013DC"/>
    <w:rsid w:val="00A016BC"/>
    <w:rsid w:val="00A04EF8"/>
    <w:rsid w:val="00A04FC2"/>
    <w:rsid w:val="00A05619"/>
    <w:rsid w:val="00A05C54"/>
    <w:rsid w:val="00A06A4F"/>
    <w:rsid w:val="00A07443"/>
    <w:rsid w:val="00A10245"/>
    <w:rsid w:val="00A10755"/>
    <w:rsid w:val="00A112B2"/>
    <w:rsid w:val="00A11AEB"/>
    <w:rsid w:val="00A11BC6"/>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6B6"/>
    <w:rsid w:val="00A258F9"/>
    <w:rsid w:val="00A2689D"/>
    <w:rsid w:val="00A30243"/>
    <w:rsid w:val="00A31435"/>
    <w:rsid w:val="00A314F7"/>
    <w:rsid w:val="00A315B6"/>
    <w:rsid w:val="00A3276A"/>
    <w:rsid w:val="00A33BDE"/>
    <w:rsid w:val="00A401F1"/>
    <w:rsid w:val="00A40AA5"/>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B18"/>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284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391C"/>
    <w:rsid w:val="00AB39A9"/>
    <w:rsid w:val="00AB4039"/>
    <w:rsid w:val="00AB49E8"/>
    <w:rsid w:val="00AB6A7C"/>
    <w:rsid w:val="00AB78D1"/>
    <w:rsid w:val="00AC00A7"/>
    <w:rsid w:val="00AC05CD"/>
    <w:rsid w:val="00AC1C86"/>
    <w:rsid w:val="00AC1D88"/>
    <w:rsid w:val="00AC3065"/>
    <w:rsid w:val="00AC3220"/>
    <w:rsid w:val="00AC3964"/>
    <w:rsid w:val="00AC39B9"/>
    <w:rsid w:val="00AC3B9C"/>
    <w:rsid w:val="00AC47E9"/>
    <w:rsid w:val="00AC4BAB"/>
    <w:rsid w:val="00AC5260"/>
    <w:rsid w:val="00AC733F"/>
    <w:rsid w:val="00AD08FD"/>
    <w:rsid w:val="00AD0919"/>
    <w:rsid w:val="00AD161A"/>
    <w:rsid w:val="00AD176A"/>
    <w:rsid w:val="00AD19E9"/>
    <w:rsid w:val="00AD6D8E"/>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B56"/>
    <w:rsid w:val="00AF1097"/>
    <w:rsid w:val="00AF2703"/>
    <w:rsid w:val="00AF335D"/>
    <w:rsid w:val="00AF4AEF"/>
    <w:rsid w:val="00AF59E2"/>
    <w:rsid w:val="00AF5FD3"/>
    <w:rsid w:val="00AF65B4"/>
    <w:rsid w:val="00AF7554"/>
    <w:rsid w:val="00B007F3"/>
    <w:rsid w:val="00B01A77"/>
    <w:rsid w:val="00B0293A"/>
    <w:rsid w:val="00B05E6F"/>
    <w:rsid w:val="00B06403"/>
    <w:rsid w:val="00B10B54"/>
    <w:rsid w:val="00B10FC2"/>
    <w:rsid w:val="00B1303B"/>
    <w:rsid w:val="00B13136"/>
    <w:rsid w:val="00B13179"/>
    <w:rsid w:val="00B134DB"/>
    <w:rsid w:val="00B1446D"/>
    <w:rsid w:val="00B146B4"/>
    <w:rsid w:val="00B1595C"/>
    <w:rsid w:val="00B163DA"/>
    <w:rsid w:val="00B21A69"/>
    <w:rsid w:val="00B2247B"/>
    <w:rsid w:val="00B247EE"/>
    <w:rsid w:val="00B25710"/>
    <w:rsid w:val="00B25A03"/>
    <w:rsid w:val="00B2708E"/>
    <w:rsid w:val="00B305D2"/>
    <w:rsid w:val="00B31437"/>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50F44"/>
    <w:rsid w:val="00B51333"/>
    <w:rsid w:val="00B534B8"/>
    <w:rsid w:val="00B55C9D"/>
    <w:rsid w:val="00B56525"/>
    <w:rsid w:val="00B56EAC"/>
    <w:rsid w:val="00B575B1"/>
    <w:rsid w:val="00B5772C"/>
    <w:rsid w:val="00B60422"/>
    <w:rsid w:val="00B605DF"/>
    <w:rsid w:val="00B606A7"/>
    <w:rsid w:val="00B60716"/>
    <w:rsid w:val="00B607AE"/>
    <w:rsid w:val="00B61466"/>
    <w:rsid w:val="00B620FB"/>
    <w:rsid w:val="00B621F7"/>
    <w:rsid w:val="00B622C6"/>
    <w:rsid w:val="00B629CE"/>
    <w:rsid w:val="00B6404E"/>
    <w:rsid w:val="00B642FC"/>
    <w:rsid w:val="00B64B65"/>
    <w:rsid w:val="00B65896"/>
    <w:rsid w:val="00B65B9D"/>
    <w:rsid w:val="00B65C9D"/>
    <w:rsid w:val="00B67739"/>
    <w:rsid w:val="00B67DA0"/>
    <w:rsid w:val="00B70704"/>
    <w:rsid w:val="00B7125A"/>
    <w:rsid w:val="00B72E85"/>
    <w:rsid w:val="00B741C6"/>
    <w:rsid w:val="00B743BE"/>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B50"/>
    <w:rsid w:val="00BC1B97"/>
    <w:rsid w:val="00BC2616"/>
    <w:rsid w:val="00BC30DF"/>
    <w:rsid w:val="00BC424F"/>
    <w:rsid w:val="00BC45C7"/>
    <w:rsid w:val="00BC52A6"/>
    <w:rsid w:val="00BC7C72"/>
    <w:rsid w:val="00BC7FDB"/>
    <w:rsid w:val="00BD020E"/>
    <w:rsid w:val="00BD0F56"/>
    <w:rsid w:val="00BD0FDF"/>
    <w:rsid w:val="00BD17F7"/>
    <w:rsid w:val="00BD28D1"/>
    <w:rsid w:val="00BD38C2"/>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6B02"/>
    <w:rsid w:val="00BE795B"/>
    <w:rsid w:val="00BF1202"/>
    <w:rsid w:val="00BF1818"/>
    <w:rsid w:val="00BF3B11"/>
    <w:rsid w:val="00BF3DB0"/>
    <w:rsid w:val="00BF3F08"/>
    <w:rsid w:val="00BF404C"/>
    <w:rsid w:val="00BF4AD1"/>
    <w:rsid w:val="00BF5536"/>
    <w:rsid w:val="00BF60CD"/>
    <w:rsid w:val="00C00F93"/>
    <w:rsid w:val="00C01656"/>
    <w:rsid w:val="00C02103"/>
    <w:rsid w:val="00C02644"/>
    <w:rsid w:val="00C03C3D"/>
    <w:rsid w:val="00C0409B"/>
    <w:rsid w:val="00C050CE"/>
    <w:rsid w:val="00C053F5"/>
    <w:rsid w:val="00C05408"/>
    <w:rsid w:val="00C05C05"/>
    <w:rsid w:val="00C06426"/>
    <w:rsid w:val="00C066C8"/>
    <w:rsid w:val="00C06715"/>
    <w:rsid w:val="00C06B58"/>
    <w:rsid w:val="00C1084F"/>
    <w:rsid w:val="00C126FF"/>
    <w:rsid w:val="00C13945"/>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267F5"/>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5A88"/>
    <w:rsid w:val="00C46310"/>
    <w:rsid w:val="00C469C0"/>
    <w:rsid w:val="00C50987"/>
    <w:rsid w:val="00C50D84"/>
    <w:rsid w:val="00C51873"/>
    <w:rsid w:val="00C52903"/>
    <w:rsid w:val="00C52F9F"/>
    <w:rsid w:val="00C54840"/>
    <w:rsid w:val="00C55EFE"/>
    <w:rsid w:val="00C560D3"/>
    <w:rsid w:val="00C56DE3"/>
    <w:rsid w:val="00C56FA6"/>
    <w:rsid w:val="00C57A2E"/>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F6C"/>
    <w:rsid w:val="00C74FF9"/>
    <w:rsid w:val="00C753CB"/>
    <w:rsid w:val="00C76A63"/>
    <w:rsid w:val="00C77613"/>
    <w:rsid w:val="00C8043D"/>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0A6"/>
    <w:rsid w:val="00C9483D"/>
    <w:rsid w:val="00C95A73"/>
    <w:rsid w:val="00C95CD9"/>
    <w:rsid w:val="00C96EC9"/>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F9"/>
    <w:rsid w:val="00CB7FD0"/>
    <w:rsid w:val="00CC0CE8"/>
    <w:rsid w:val="00CC1C3A"/>
    <w:rsid w:val="00CC1EAC"/>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F0A57"/>
    <w:rsid w:val="00CF0B56"/>
    <w:rsid w:val="00CF1A4A"/>
    <w:rsid w:val="00CF1A60"/>
    <w:rsid w:val="00CF2A98"/>
    <w:rsid w:val="00CF3086"/>
    <w:rsid w:val="00CF3552"/>
    <w:rsid w:val="00CF5478"/>
    <w:rsid w:val="00CF551A"/>
    <w:rsid w:val="00CF7F00"/>
    <w:rsid w:val="00D00B8F"/>
    <w:rsid w:val="00D015B5"/>
    <w:rsid w:val="00D01D4E"/>
    <w:rsid w:val="00D0272D"/>
    <w:rsid w:val="00D031CB"/>
    <w:rsid w:val="00D031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1F4"/>
    <w:rsid w:val="00D24E6B"/>
    <w:rsid w:val="00D25B5B"/>
    <w:rsid w:val="00D26109"/>
    <w:rsid w:val="00D266E8"/>
    <w:rsid w:val="00D26705"/>
    <w:rsid w:val="00D27019"/>
    <w:rsid w:val="00D273C8"/>
    <w:rsid w:val="00D31078"/>
    <w:rsid w:val="00D31B6A"/>
    <w:rsid w:val="00D323A8"/>
    <w:rsid w:val="00D32E30"/>
    <w:rsid w:val="00D33510"/>
    <w:rsid w:val="00D34A0D"/>
    <w:rsid w:val="00D34D18"/>
    <w:rsid w:val="00D3619B"/>
    <w:rsid w:val="00D4243A"/>
    <w:rsid w:val="00D43062"/>
    <w:rsid w:val="00D4330B"/>
    <w:rsid w:val="00D441F5"/>
    <w:rsid w:val="00D44DED"/>
    <w:rsid w:val="00D4584C"/>
    <w:rsid w:val="00D46BBF"/>
    <w:rsid w:val="00D4766B"/>
    <w:rsid w:val="00D479FA"/>
    <w:rsid w:val="00D47EA7"/>
    <w:rsid w:val="00D502E3"/>
    <w:rsid w:val="00D50BC5"/>
    <w:rsid w:val="00D51559"/>
    <w:rsid w:val="00D51B22"/>
    <w:rsid w:val="00D51FEC"/>
    <w:rsid w:val="00D5252E"/>
    <w:rsid w:val="00D527D2"/>
    <w:rsid w:val="00D52B77"/>
    <w:rsid w:val="00D54897"/>
    <w:rsid w:val="00D54FB6"/>
    <w:rsid w:val="00D556E5"/>
    <w:rsid w:val="00D55E2F"/>
    <w:rsid w:val="00D55F63"/>
    <w:rsid w:val="00D6080B"/>
    <w:rsid w:val="00D623C6"/>
    <w:rsid w:val="00D62B2C"/>
    <w:rsid w:val="00D6314B"/>
    <w:rsid w:val="00D647F3"/>
    <w:rsid w:val="00D64BAA"/>
    <w:rsid w:val="00D64FF9"/>
    <w:rsid w:val="00D65A35"/>
    <w:rsid w:val="00D700A0"/>
    <w:rsid w:val="00D718B9"/>
    <w:rsid w:val="00D71A43"/>
    <w:rsid w:val="00D729F7"/>
    <w:rsid w:val="00D738CE"/>
    <w:rsid w:val="00D74543"/>
    <w:rsid w:val="00D74BEF"/>
    <w:rsid w:val="00D75A15"/>
    <w:rsid w:val="00D769D5"/>
    <w:rsid w:val="00D76E8C"/>
    <w:rsid w:val="00D770DE"/>
    <w:rsid w:val="00D775F9"/>
    <w:rsid w:val="00D80A84"/>
    <w:rsid w:val="00D80FAF"/>
    <w:rsid w:val="00D81284"/>
    <w:rsid w:val="00D8186D"/>
    <w:rsid w:val="00D81FCC"/>
    <w:rsid w:val="00D82A1A"/>
    <w:rsid w:val="00D8522D"/>
    <w:rsid w:val="00D85A7A"/>
    <w:rsid w:val="00D86F49"/>
    <w:rsid w:val="00D875D4"/>
    <w:rsid w:val="00D87BE2"/>
    <w:rsid w:val="00D906A0"/>
    <w:rsid w:val="00D906AB"/>
    <w:rsid w:val="00D910AA"/>
    <w:rsid w:val="00D9525E"/>
    <w:rsid w:val="00D95291"/>
    <w:rsid w:val="00D959BB"/>
    <w:rsid w:val="00D963B2"/>
    <w:rsid w:val="00D964A9"/>
    <w:rsid w:val="00DA103F"/>
    <w:rsid w:val="00DA1D83"/>
    <w:rsid w:val="00DA5574"/>
    <w:rsid w:val="00DA5D6D"/>
    <w:rsid w:val="00DA6396"/>
    <w:rsid w:val="00DA6CD4"/>
    <w:rsid w:val="00DA754D"/>
    <w:rsid w:val="00DA7D58"/>
    <w:rsid w:val="00DB0890"/>
    <w:rsid w:val="00DB188C"/>
    <w:rsid w:val="00DB2074"/>
    <w:rsid w:val="00DB20E9"/>
    <w:rsid w:val="00DB23F3"/>
    <w:rsid w:val="00DB3509"/>
    <w:rsid w:val="00DB35EA"/>
    <w:rsid w:val="00DB4B45"/>
    <w:rsid w:val="00DB4D2B"/>
    <w:rsid w:val="00DB67C3"/>
    <w:rsid w:val="00DB7A3F"/>
    <w:rsid w:val="00DC0402"/>
    <w:rsid w:val="00DC0800"/>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D793F"/>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F047D"/>
    <w:rsid w:val="00DF0C66"/>
    <w:rsid w:val="00DF133C"/>
    <w:rsid w:val="00DF173B"/>
    <w:rsid w:val="00DF23DF"/>
    <w:rsid w:val="00DF3860"/>
    <w:rsid w:val="00DF3911"/>
    <w:rsid w:val="00DF3C4D"/>
    <w:rsid w:val="00DF5E4F"/>
    <w:rsid w:val="00DF7472"/>
    <w:rsid w:val="00E01F9E"/>
    <w:rsid w:val="00E02BA4"/>
    <w:rsid w:val="00E02D7F"/>
    <w:rsid w:val="00E02DB7"/>
    <w:rsid w:val="00E041A8"/>
    <w:rsid w:val="00E05214"/>
    <w:rsid w:val="00E05C69"/>
    <w:rsid w:val="00E111DD"/>
    <w:rsid w:val="00E11960"/>
    <w:rsid w:val="00E11F5E"/>
    <w:rsid w:val="00E128C9"/>
    <w:rsid w:val="00E13A2B"/>
    <w:rsid w:val="00E13DC7"/>
    <w:rsid w:val="00E14909"/>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6F4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22AA"/>
    <w:rsid w:val="00E52EDB"/>
    <w:rsid w:val="00E537C2"/>
    <w:rsid w:val="00E53899"/>
    <w:rsid w:val="00E556EA"/>
    <w:rsid w:val="00E56B34"/>
    <w:rsid w:val="00E57176"/>
    <w:rsid w:val="00E57759"/>
    <w:rsid w:val="00E57A42"/>
    <w:rsid w:val="00E61F54"/>
    <w:rsid w:val="00E62201"/>
    <w:rsid w:val="00E6240B"/>
    <w:rsid w:val="00E6282F"/>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77BA6"/>
    <w:rsid w:val="00E84641"/>
    <w:rsid w:val="00E867C3"/>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119"/>
    <w:rsid w:val="00EB3870"/>
    <w:rsid w:val="00EB3D4C"/>
    <w:rsid w:val="00EB636E"/>
    <w:rsid w:val="00EB6FF2"/>
    <w:rsid w:val="00EB7451"/>
    <w:rsid w:val="00EB7E0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2F69"/>
    <w:rsid w:val="00ED3CAA"/>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ED"/>
    <w:rsid w:val="00EF75C6"/>
    <w:rsid w:val="00EF7AD4"/>
    <w:rsid w:val="00EF7B51"/>
    <w:rsid w:val="00EF7F95"/>
    <w:rsid w:val="00F001A0"/>
    <w:rsid w:val="00F00A49"/>
    <w:rsid w:val="00F00B42"/>
    <w:rsid w:val="00F016A9"/>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30A"/>
    <w:rsid w:val="00F175A5"/>
    <w:rsid w:val="00F17C58"/>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4C25"/>
    <w:rsid w:val="00F463FB"/>
    <w:rsid w:val="00F477A2"/>
    <w:rsid w:val="00F510F0"/>
    <w:rsid w:val="00F51A23"/>
    <w:rsid w:val="00F51A60"/>
    <w:rsid w:val="00F54B02"/>
    <w:rsid w:val="00F54EE7"/>
    <w:rsid w:val="00F56BFC"/>
    <w:rsid w:val="00F603A9"/>
    <w:rsid w:val="00F64F3B"/>
    <w:rsid w:val="00F6679D"/>
    <w:rsid w:val="00F71AAF"/>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0AE"/>
    <w:rsid w:val="00F84535"/>
    <w:rsid w:val="00F85482"/>
    <w:rsid w:val="00F864C1"/>
    <w:rsid w:val="00F86710"/>
    <w:rsid w:val="00F86B46"/>
    <w:rsid w:val="00F86D7E"/>
    <w:rsid w:val="00F8777C"/>
    <w:rsid w:val="00F901B9"/>
    <w:rsid w:val="00F90914"/>
    <w:rsid w:val="00F90BBD"/>
    <w:rsid w:val="00F90E8B"/>
    <w:rsid w:val="00F91261"/>
    <w:rsid w:val="00F91EDD"/>
    <w:rsid w:val="00F926A4"/>
    <w:rsid w:val="00F93DB7"/>
    <w:rsid w:val="00F94074"/>
    <w:rsid w:val="00F94C0F"/>
    <w:rsid w:val="00F959DE"/>
    <w:rsid w:val="00FA00A3"/>
    <w:rsid w:val="00FA0239"/>
    <w:rsid w:val="00FA2BD3"/>
    <w:rsid w:val="00FA2CEE"/>
    <w:rsid w:val="00FA4558"/>
    <w:rsid w:val="00FA5CC6"/>
    <w:rsid w:val="00FA60FB"/>
    <w:rsid w:val="00FA66BD"/>
    <w:rsid w:val="00FA671A"/>
    <w:rsid w:val="00FA68A4"/>
    <w:rsid w:val="00FA6CF7"/>
    <w:rsid w:val="00FA7DE2"/>
    <w:rsid w:val="00FB0B22"/>
    <w:rsid w:val="00FB148D"/>
    <w:rsid w:val="00FB2C3F"/>
    <w:rsid w:val="00FB3884"/>
    <w:rsid w:val="00FB3E1B"/>
    <w:rsid w:val="00FB46C5"/>
    <w:rsid w:val="00FB49CD"/>
    <w:rsid w:val="00FB5F4A"/>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949"/>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6C40"/>
    <w:rsid w:val="00FF6C5C"/>
    <w:rsid w:val="00FF70B1"/>
  </w:rsids>
  <m:mathPr>
    <m:mathFont m:val="Trebuchet MS"/>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o:shapedefaults>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link w:val="Sprechblasentext"/>
    <w:semiHidden/>
    <w:rsid w:val="00F32931"/>
    <w:rPr>
      <w:rFonts w:ascii="Lucida Grande" w:hAnsi="Lucida Grande"/>
      <w:sz w:val="18"/>
      <w:szCs w:val="18"/>
    </w:rPr>
  </w:style>
  <w:style w:type="character" w:customStyle="1" w:styleId="SprechblasentextZeichen2">
    <w:name w:val="Sprechblasentext Zeichen"/>
    <w:basedOn w:val="Absatzstandardschriftart"/>
    <w:link w:val="Sprechblasentex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link w:val="Sprechblasentex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link w:val="Sprechblasentex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link w:val="Sprechblasentex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link w:val="Sprechblasentex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link w:val="Sprechblasentex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link w:val="Sprechblasentex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link w:val="Sprechblasentex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link w:val="Sprechblasentex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link w:val="Sprechblasentex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link w:val="Sprechblasentex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link w:val="Sprechblasentex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link w:val="Sprechblasentex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link w:val="Sprechblasentex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link w:val="Sprechblasentex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link w:val="Sprechblasentex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link w:val="Sprechblasentex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link w:val="Sprechblasentex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link w:val="Sprechblasentex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b/>
      <w:bCs/>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eastAsia="Times New Roman"/>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3"/>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ekd.de/glauben/bekenntnisse/augsburger_bekenntnis.html" TargetMode="External"/><Relationship Id="rId2" Type="http://schemas.openxmlformats.org/officeDocument/2006/relationships/hyperlink" Target="http://www.kirche-im-norden.de/fileadmin/Download/VerfassungNordkirche_07012012.pdf" TargetMode="External"/><Relationship Id="rId3" Type="http://schemas.openxmlformats.org/officeDocument/2006/relationships/hyperlink" Target="http://www.ekd.de/glauben/bekenntnisse/barmer_theologische_erklaerun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2224</Words>
  <Characters>12681</Characters>
  <Application>Microsoft Macintosh Word</Application>
  <DocSecurity>0</DocSecurity>
  <Lines>105</Lines>
  <Paragraphs>25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95</cp:revision>
  <cp:lastPrinted>2012-10-18T11:03:00Z</cp:lastPrinted>
  <dcterms:created xsi:type="dcterms:W3CDTF">2012-10-18T11:13:00Z</dcterms:created>
  <dcterms:modified xsi:type="dcterms:W3CDTF">2012-10-18T18:03:00Z</dcterms:modified>
</cp:coreProperties>
</file>