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31257"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73612108" wp14:editId="703D19ED">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6493359F" w14:textId="77777777" w:rsidR="000D11E1" w:rsidRPr="00FA66BD" w:rsidRDefault="000D11E1" w:rsidP="00580EBE">
      <w:pPr>
        <w:rPr>
          <w:rFonts w:asciiTheme="minorHAnsi" w:hAnsiTheme="minorHAnsi"/>
          <w:szCs w:val="24"/>
        </w:rPr>
      </w:pPr>
    </w:p>
    <w:p w14:paraId="7E7D006E" w14:textId="77777777" w:rsidR="000D11E1" w:rsidRPr="00FA66BD" w:rsidRDefault="000D11E1" w:rsidP="00580EBE">
      <w:pPr>
        <w:rPr>
          <w:rFonts w:asciiTheme="minorHAnsi" w:hAnsiTheme="minorHAnsi"/>
          <w:szCs w:val="24"/>
        </w:rPr>
      </w:pPr>
    </w:p>
    <w:p w14:paraId="1C867CD7" w14:textId="77777777" w:rsidR="000D11E1" w:rsidRPr="00FA66BD" w:rsidRDefault="000D11E1" w:rsidP="00580EBE">
      <w:pPr>
        <w:rPr>
          <w:rFonts w:asciiTheme="minorHAnsi" w:hAnsiTheme="minorHAnsi"/>
        </w:rPr>
      </w:pPr>
    </w:p>
    <w:p w14:paraId="6E7007C3"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73189A32" wp14:editId="11E06F2C">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AE6C4DD"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621B4A65"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711BC4">
        <w:rPr>
          <w:rFonts w:asciiTheme="minorHAnsi" w:hAnsiTheme="minorHAnsi"/>
          <w:sz w:val="32"/>
          <w:szCs w:val="48"/>
        </w:rPr>
        <w:t>semester 2012-13 (Arbeitsblatt 5</w:t>
      </w:r>
      <w:r w:rsidR="00B65C9D">
        <w:rPr>
          <w:rFonts w:asciiTheme="minorHAnsi" w:hAnsiTheme="minorHAnsi"/>
          <w:sz w:val="32"/>
          <w:szCs w:val="48"/>
        </w:rPr>
        <w:t>)</w:t>
      </w:r>
    </w:p>
    <w:p w14:paraId="4C01E50C"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6A1599F6" wp14:editId="59C06E4C">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7FBCEDD3" w14:textId="77777777" w:rsidR="000D11E1" w:rsidRPr="00FA66BD" w:rsidRDefault="000D11E1" w:rsidP="00580EBE">
      <w:pPr>
        <w:rPr>
          <w:rFonts w:asciiTheme="minorHAnsi" w:hAnsiTheme="minorHAnsi"/>
          <w:sz w:val="12"/>
          <w:szCs w:val="12"/>
        </w:rPr>
      </w:pPr>
    </w:p>
    <w:p w14:paraId="0DFCAA25"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711BC4">
        <w:rPr>
          <w:rFonts w:asciiTheme="minorHAnsi" w:hAnsiTheme="minorHAnsi"/>
          <w:sz w:val="28"/>
          <w:szCs w:val="32"/>
        </w:rPr>
        <w:t>16</w:t>
      </w:r>
      <w:r w:rsidR="00EC5674">
        <w:rPr>
          <w:rFonts w:asciiTheme="minorHAnsi" w:hAnsiTheme="minorHAnsi"/>
          <w:sz w:val="28"/>
          <w:szCs w:val="32"/>
        </w:rPr>
        <w:t xml:space="preserve">. </w:t>
      </w:r>
      <w:r w:rsidR="001C6C91">
        <w:rPr>
          <w:rFonts w:asciiTheme="minorHAnsi" w:hAnsiTheme="minorHAnsi"/>
          <w:sz w:val="28"/>
          <w:szCs w:val="32"/>
        </w:rPr>
        <w:t xml:space="preserve">November </w:t>
      </w:r>
      <w:r w:rsidR="009E704F">
        <w:rPr>
          <w:rFonts w:asciiTheme="minorHAnsi" w:hAnsiTheme="minorHAnsi"/>
          <w:sz w:val="28"/>
          <w:szCs w:val="32"/>
        </w:rPr>
        <w:t>2012</w:t>
      </w:r>
    </w:p>
    <w:p w14:paraId="311815E6" w14:textId="77777777" w:rsidR="0003468F" w:rsidRDefault="0003468F" w:rsidP="008F4AA6">
      <w:pPr>
        <w:pStyle w:val="berschrift1"/>
      </w:pPr>
      <w:bookmarkStart w:id="0" w:name="_Toc211165368"/>
      <w:bookmarkStart w:id="1" w:name="OLE_LINK13"/>
      <w:bookmarkStart w:id="2" w:name="OLE_LINK14"/>
    </w:p>
    <w:p w14:paraId="040CE4D6" w14:textId="77777777" w:rsidR="0003468F" w:rsidRDefault="0003468F" w:rsidP="008F4AA6">
      <w:pPr>
        <w:pStyle w:val="berschrift1"/>
      </w:pPr>
    </w:p>
    <w:p w14:paraId="7DB395C5" w14:textId="77777777" w:rsidR="0003468F" w:rsidRDefault="0003468F" w:rsidP="008F4AA6">
      <w:pPr>
        <w:pStyle w:val="berschrift1"/>
      </w:pPr>
    </w:p>
    <w:p w14:paraId="6D8590F6" w14:textId="77777777" w:rsidR="00E62E9C" w:rsidRDefault="00E62E9C" w:rsidP="00E62E9C">
      <w:pPr>
        <w:pStyle w:val="berschrift1"/>
      </w:pPr>
      <w:bookmarkStart w:id="3" w:name="_Toc214635395"/>
      <w:bookmarkEnd w:id="0"/>
      <w:bookmarkEnd w:id="1"/>
      <w:bookmarkEnd w:id="2"/>
      <w:r>
        <w:t>6. Konzeptionen im Widerstreit: Warum streiten die sich eigentlich?</w:t>
      </w:r>
      <w:bookmarkEnd w:id="3"/>
    </w:p>
    <w:p w14:paraId="38172ADF" w14:textId="77777777" w:rsidR="00E62E9C" w:rsidRDefault="00E62E9C" w:rsidP="00E62E9C">
      <w:pPr>
        <w:pStyle w:val="berschrift2"/>
      </w:pPr>
      <w:bookmarkStart w:id="4" w:name="_Toc214635396"/>
      <w:r>
        <w:t>6.1 Einführung ins Thema</w:t>
      </w:r>
      <w:bookmarkEnd w:id="4"/>
    </w:p>
    <w:p w14:paraId="6BD49070" w14:textId="77777777" w:rsidR="00E62E9C" w:rsidRDefault="00E62E9C" w:rsidP="00E62E9C">
      <w:pPr>
        <w:pStyle w:val="berschrift3"/>
      </w:pPr>
      <w:bookmarkStart w:id="5" w:name="_Toc214635397"/>
      <w:r>
        <w:t>6.1.1 Was ist der Sinn von Konzeptionen?</w:t>
      </w:r>
      <w:bookmarkEnd w:id="5"/>
    </w:p>
    <w:p w14:paraId="0951774B" w14:textId="4CEE9265" w:rsidR="00FA718F" w:rsidRDefault="00FA718F" w:rsidP="00FA718F">
      <w:pPr>
        <w:jc w:val="center"/>
      </w:pPr>
      <w:r w:rsidRPr="00FA718F">
        <w:drawing>
          <wp:inline distT="0" distB="0" distL="0" distR="0" wp14:anchorId="7377EB9D" wp14:editId="7A07ABD0">
            <wp:extent cx="2955222" cy="2215263"/>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144" cy="2215954"/>
                    </a:xfrm>
                    <a:prstGeom prst="rect">
                      <a:avLst/>
                    </a:prstGeom>
                    <a:noFill/>
                    <a:ln>
                      <a:noFill/>
                    </a:ln>
                  </pic:spPr>
                </pic:pic>
              </a:graphicData>
            </a:graphic>
          </wp:inline>
        </w:drawing>
      </w:r>
    </w:p>
    <w:p w14:paraId="7E8A078D" w14:textId="77777777" w:rsidR="00E62E9C" w:rsidRDefault="00E62E9C" w:rsidP="00E62E9C">
      <w:pPr>
        <w:pStyle w:val="berschrift3"/>
      </w:pPr>
      <w:bookmarkStart w:id="6" w:name="_Toc214635398"/>
      <w:r>
        <w:lastRenderedPageBreak/>
        <w:t>6.1.2 Welche Konzeptionsfamilien kennen wir?</w:t>
      </w:r>
      <w:bookmarkEnd w:id="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51"/>
      </w:tblGrid>
      <w:tr w:rsidR="000A3619" w14:paraId="0DA1B750" w14:textId="77777777" w:rsidTr="00F17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right w:val="none" w:sz="0" w:space="0" w:color="auto"/>
            </w:tcBorders>
            <w:shd w:val="clear" w:color="auto" w:fill="auto"/>
          </w:tcPr>
          <w:p w14:paraId="2FB1F3A0" w14:textId="1B8EF290" w:rsidR="000A3619" w:rsidRDefault="000A3619" w:rsidP="000A3619">
            <w:r w:rsidRPr="000A3619">
              <w:drawing>
                <wp:inline distT="0" distB="0" distL="0" distR="0" wp14:anchorId="7498679C" wp14:editId="15CBCAD4">
                  <wp:extent cx="3380582" cy="2534117"/>
                  <wp:effectExtent l="0" t="0" r="0" b="63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810" cy="2534288"/>
                          </a:xfrm>
                          <a:prstGeom prst="rect">
                            <a:avLst/>
                          </a:prstGeom>
                          <a:noFill/>
                          <a:ln>
                            <a:noFill/>
                          </a:ln>
                        </pic:spPr>
                      </pic:pic>
                    </a:graphicData>
                  </a:graphic>
                </wp:inline>
              </w:drawing>
            </w:r>
            <w:r w:rsidR="00F1726C" w:rsidRPr="00F1726C">
              <w:rPr>
                <w:rStyle w:val="Funotenzeichen"/>
                <w:b w:val="0"/>
              </w:rPr>
              <w:footnoteReference w:id="1"/>
            </w:r>
          </w:p>
        </w:tc>
        <w:tc>
          <w:tcPr>
            <w:tcW w:w="3651" w:type="dxa"/>
            <w:shd w:val="clear" w:color="auto" w:fill="auto"/>
          </w:tcPr>
          <w:p w14:paraId="5CA51526" w14:textId="77777777" w:rsidR="000A3619" w:rsidRPr="000A3619" w:rsidRDefault="000A3619" w:rsidP="000A3619">
            <w:pPr>
              <w:cnfStyle w:val="100000000000" w:firstRow="1" w:lastRow="0" w:firstColumn="0" w:lastColumn="0" w:oddVBand="0" w:evenVBand="0" w:oddHBand="0" w:evenHBand="0" w:firstRowFirstColumn="0" w:firstRowLastColumn="0" w:lastRowFirstColumn="0" w:lastRowLastColumn="0"/>
              <w:rPr>
                <w:b w:val="0"/>
                <w:sz w:val="22"/>
                <w:szCs w:val="22"/>
              </w:rPr>
            </w:pPr>
          </w:p>
          <w:p w14:paraId="58DC11BF" w14:textId="76E4CC06" w:rsidR="000A3619" w:rsidRPr="000A3619" w:rsidRDefault="000A3619" w:rsidP="000A3619">
            <w:pPr>
              <w:cnfStyle w:val="100000000000" w:firstRow="1" w:lastRow="0" w:firstColumn="0" w:lastColumn="0" w:oddVBand="0" w:evenVBand="0" w:oddHBand="0" w:evenHBand="0" w:firstRowFirstColumn="0" w:firstRowLastColumn="0" w:lastRowFirstColumn="0" w:lastRowLastColumn="0"/>
              <w:rPr>
                <w:b w:val="0"/>
                <w:sz w:val="22"/>
                <w:szCs w:val="22"/>
              </w:rPr>
            </w:pPr>
            <w:r w:rsidRPr="000A3619">
              <w:rPr>
                <w:b w:val="0"/>
                <w:sz w:val="22"/>
                <w:szCs w:val="22"/>
              </w:rPr>
              <w:t>Der Begriff der „Konzeptionsfamilie" zeigt an: Wie in jeder Familie gibt es verschiedene Familienmitglieder, ält</w:t>
            </w:r>
            <w:r w:rsidRPr="000A3619">
              <w:rPr>
                <w:b w:val="0"/>
                <w:sz w:val="22"/>
                <w:szCs w:val="22"/>
              </w:rPr>
              <w:t>e</w:t>
            </w:r>
            <w:r w:rsidRPr="000A3619">
              <w:rPr>
                <w:b w:val="0"/>
                <w:sz w:val="22"/>
                <w:szCs w:val="22"/>
              </w:rPr>
              <w:t>re und jüngere, jedes hat seine Eige</w:t>
            </w:r>
            <w:r w:rsidRPr="000A3619">
              <w:rPr>
                <w:b w:val="0"/>
                <w:sz w:val="22"/>
                <w:szCs w:val="22"/>
              </w:rPr>
              <w:t>n</w:t>
            </w:r>
            <w:r w:rsidRPr="000A3619">
              <w:rPr>
                <w:b w:val="0"/>
                <w:sz w:val="22"/>
                <w:szCs w:val="22"/>
              </w:rPr>
              <w:t>arten. Nicht in allem ist man sich i</w:t>
            </w:r>
            <w:r w:rsidRPr="000A3619">
              <w:rPr>
                <w:b w:val="0"/>
                <w:sz w:val="22"/>
                <w:szCs w:val="22"/>
              </w:rPr>
              <w:t>m</w:t>
            </w:r>
            <w:r w:rsidRPr="000A3619">
              <w:rPr>
                <w:b w:val="0"/>
                <w:sz w:val="22"/>
                <w:szCs w:val="22"/>
              </w:rPr>
              <w:t>mer einig. Dennoch: im Zweifelsfall gehören sie z</w:t>
            </w:r>
            <w:r w:rsidRPr="000A3619">
              <w:rPr>
                <w:b w:val="0"/>
                <w:sz w:val="22"/>
                <w:szCs w:val="22"/>
              </w:rPr>
              <w:t>u</w:t>
            </w:r>
            <w:r w:rsidRPr="000A3619">
              <w:rPr>
                <w:b w:val="0"/>
                <w:sz w:val="22"/>
                <w:szCs w:val="22"/>
              </w:rPr>
              <w:t xml:space="preserve">sammen. </w:t>
            </w:r>
          </w:p>
        </w:tc>
      </w:tr>
    </w:tbl>
    <w:p w14:paraId="0A8533A8" w14:textId="0C79B8CB" w:rsidR="00E62E9C" w:rsidRDefault="00E62E9C" w:rsidP="00E62E9C">
      <w:r>
        <w:t>Man kann heute in den Landeskirchen eine gewisse B</w:t>
      </w:r>
      <w:r>
        <w:t>e</w:t>
      </w:r>
      <w:r>
        <w:t>wegung aufeinander zu beobachten</w:t>
      </w:r>
      <w:r w:rsidR="00F17CDE">
        <w:t xml:space="preserve">. So gibt es </w:t>
      </w:r>
      <w:r>
        <w:t>Konvergenzen, wo früher der Streit sehr grundsätzlich war.</w:t>
      </w:r>
      <w:r w:rsidR="00CE6F0F">
        <w:t xml:space="preserve"> Daraus speist sich auch </w:t>
      </w:r>
      <w:r>
        <w:t>die neue Offe</w:t>
      </w:r>
      <w:r>
        <w:t>n</w:t>
      </w:r>
      <w:r>
        <w:t>heit für Mission in der EKD seit der EKD-Synode in Leipzig 1999</w:t>
      </w:r>
      <w:r w:rsidR="00CE6F0F">
        <w:t xml:space="preserve">. Dabei bringen die </w:t>
      </w:r>
      <w:r>
        <w:t>Konzeptionsfam</w:t>
      </w:r>
      <w:r>
        <w:t>i</w:t>
      </w:r>
      <w:r>
        <w:t>lien</w:t>
      </w:r>
      <w:r w:rsidR="00CE6F0F">
        <w:t xml:space="preserve"> bringen</w:t>
      </w:r>
      <w:r>
        <w:t xml:space="preserve"> jeweils einige ihrer Stärken in </w:t>
      </w:r>
      <w:r w:rsidR="00CE6F0F">
        <w:t>aktuelle</w:t>
      </w:r>
      <w:r>
        <w:t xml:space="preserve"> kirchlichen Reformpapiere ein, während sehr pr</w:t>
      </w:r>
      <w:r>
        <w:t>o</w:t>
      </w:r>
      <w:r>
        <w:t>filierte A</w:t>
      </w:r>
      <w:r>
        <w:t>s</w:t>
      </w:r>
      <w:r>
        <w:t>pekte zurücktreten.</w:t>
      </w:r>
    </w:p>
    <w:p w14:paraId="7373E5A3" w14:textId="77777777" w:rsidR="00E62E9C" w:rsidRDefault="00E62E9C" w:rsidP="00E62E9C">
      <w:pPr>
        <w:pStyle w:val="berschrift3"/>
      </w:pPr>
      <w:bookmarkStart w:id="7" w:name="_Toc214635399"/>
      <w:r>
        <w:t>6.1.3 Und warum streiten sie sich immer noch?</w:t>
      </w:r>
      <w:bookmarkEnd w:id="7"/>
    </w:p>
    <w:p w14:paraId="33FEC074" w14:textId="4F2A00B3" w:rsidR="00EA7DB4" w:rsidRDefault="00EA7DB4" w:rsidP="00EA7DB4">
      <w:pPr>
        <w:contextualSpacing/>
        <w:jc w:val="center"/>
        <w:cnfStyle w:val="101000000000" w:firstRow="1" w:lastRow="0" w:firstColumn="1" w:lastColumn="0" w:oddVBand="0" w:evenVBand="0" w:oddHBand="0" w:evenHBand="0" w:firstRowFirstColumn="0" w:firstRowLastColumn="0" w:lastRowFirstColumn="0" w:lastRowLastColumn="0"/>
        <w:rPr>
          <w:sz w:val="24"/>
          <w:szCs w:val="24"/>
        </w:rPr>
      </w:pPr>
      <w:r w:rsidRPr="00EA7DB4">
        <w:drawing>
          <wp:inline distT="0" distB="0" distL="0" distR="0" wp14:anchorId="1969B5B6" wp14:editId="4D0B07A2">
            <wp:extent cx="2910854" cy="2182005"/>
            <wp:effectExtent l="0" t="0" r="10160" b="254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53" cy="2182979"/>
                    </a:xfrm>
                    <a:prstGeom prst="rect">
                      <a:avLst/>
                    </a:prstGeom>
                    <a:noFill/>
                    <a:ln>
                      <a:noFill/>
                    </a:ln>
                  </pic:spPr>
                </pic:pic>
              </a:graphicData>
            </a:graphic>
          </wp:inline>
        </w:drawing>
      </w:r>
    </w:p>
    <w:p w14:paraId="6A37A720" w14:textId="77777777" w:rsidR="00EA7DB4" w:rsidRPr="0062549A" w:rsidRDefault="00EA7DB4" w:rsidP="00EA7DB4">
      <w:pPr>
        <w:contextualSpacing/>
        <w:cnfStyle w:val="101000000000" w:firstRow="1" w:lastRow="0" w:firstColumn="1" w:lastColumn="0" w:oddVBand="0" w:evenVBand="0" w:oddHBand="0" w:evenHBand="0" w:firstRowFirstColumn="0" w:firstRowLastColumn="0" w:lastRowFirstColumn="0" w:lastRowLastColumn="0"/>
      </w:pPr>
      <w:r w:rsidRPr="0062549A">
        <w:t>Hier helfen noch einmal unsere Ausgangsüberlegungen zu den Größenordnungen, Zugehörigke</w:t>
      </w:r>
      <w:r w:rsidRPr="0062549A">
        <w:t>i</w:t>
      </w:r>
      <w:r w:rsidRPr="0062549A">
        <w:t>ten, Wesensmerkmalen usw. Es hänge m.E. an der Antwort auf die Fragen:</w:t>
      </w:r>
    </w:p>
    <w:p w14:paraId="7413782C" w14:textId="77777777" w:rsidR="00EA7DB4" w:rsidRPr="0062549A" w:rsidRDefault="00EA7DB4" w:rsidP="00EA7DB4">
      <w:pPr>
        <w:pStyle w:val="Listenabsatz"/>
        <w:numPr>
          <w:ilvl w:val="0"/>
          <w:numId w:val="29"/>
        </w:numPr>
        <w:cnfStyle w:val="101000000000" w:firstRow="1" w:lastRow="0" w:firstColumn="1" w:lastColumn="0" w:oddVBand="0" w:evenVBand="0" w:oddHBand="0" w:evenHBand="0" w:firstRowFirstColumn="0" w:firstRowLastColumn="0" w:lastRowFirstColumn="0" w:lastRowLastColumn="0"/>
        <w:rPr>
          <w:bCs/>
        </w:rPr>
      </w:pPr>
      <w:r w:rsidRPr="0062549A">
        <w:rPr>
          <w:bCs/>
        </w:rPr>
        <w:t>Welche Art von Zuwendung, Dienst, Hilfestellung soll er Einzelne von der kirchlichen G</w:t>
      </w:r>
      <w:r w:rsidRPr="0062549A">
        <w:rPr>
          <w:bCs/>
        </w:rPr>
        <w:t>e</w:t>
      </w:r>
      <w:r w:rsidRPr="0062549A">
        <w:rPr>
          <w:bCs/>
        </w:rPr>
        <w:t>meinschaft erwarten können?</w:t>
      </w:r>
    </w:p>
    <w:p w14:paraId="29F6325C" w14:textId="77777777" w:rsidR="00EA7DB4" w:rsidRPr="0062549A" w:rsidRDefault="00EA7DB4" w:rsidP="00EA7DB4">
      <w:pPr>
        <w:pStyle w:val="Listenabsatz"/>
        <w:numPr>
          <w:ilvl w:val="0"/>
          <w:numId w:val="29"/>
        </w:numPr>
        <w:cnfStyle w:val="101000000000" w:firstRow="1" w:lastRow="0" w:firstColumn="1" w:lastColumn="0" w:oddVBand="0" w:evenVBand="0" w:oddHBand="0" w:evenHBand="0" w:firstRowFirstColumn="0" w:firstRowLastColumn="0" w:lastRowFirstColumn="0" w:lastRowLastColumn="0"/>
        <w:rPr>
          <w:bCs/>
        </w:rPr>
      </w:pPr>
      <w:r w:rsidRPr="0062549A">
        <w:rPr>
          <w:bCs/>
        </w:rPr>
        <w:t>Welches Maß an Vergemeinschaftung braucht und verträgt evangelisches Chris</w:t>
      </w:r>
      <w:r w:rsidRPr="0062549A">
        <w:rPr>
          <w:bCs/>
        </w:rPr>
        <w:t>t</w:t>
      </w:r>
      <w:r w:rsidRPr="0062549A">
        <w:rPr>
          <w:bCs/>
        </w:rPr>
        <w:t>sein?</w:t>
      </w:r>
    </w:p>
    <w:p w14:paraId="76236899" w14:textId="1013D852" w:rsidR="00EA7DB4" w:rsidRPr="0062549A" w:rsidRDefault="00EA7DB4" w:rsidP="00EA7DB4">
      <w:pPr>
        <w:pStyle w:val="Listenabsatz"/>
        <w:numPr>
          <w:ilvl w:val="0"/>
          <w:numId w:val="29"/>
        </w:numPr>
        <w:cnfStyle w:val="101000000000" w:firstRow="1" w:lastRow="0" w:firstColumn="1" w:lastColumn="0" w:oddVBand="0" w:evenVBand="0" w:oddHBand="0" w:evenHBand="0" w:firstRowFirstColumn="0" w:firstRowLastColumn="0" w:lastRowFirstColumn="0" w:lastRowLastColumn="0"/>
        <w:rPr>
          <w:bCs/>
        </w:rPr>
      </w:pPr>
      <w:r w:rsidRPr="0062549A">
        <w:rPr>
          <w:bCs/>
        </w:rPr>
        <w:t>Wie wichtig ist die Erhaltung der Kirche als O</w:t>
      </w:r>
      <w:r w:rsidRPr="0062549A">
        <w:rPr>
          <w:bCs/>
        </w:rPr>
        <w:t>r</w:t>
      </w:r>
      <w:r w:rsidRPr="0062549A">
        <w:rPr>
          <w:bCs/>
        </w:rPr>
        <w:t>ganisation?</w:t>
      </w:r>
    </w:p>
    <w:p w14:paraId="013ED6F8" w14:textId="5DF12D07" w:rsidR="00EA7DB4" w:rsidRPr="00EA7DB4" w:rsidRDefault="00EA7DB4" w:rsidP="00EA7DB4"/>
    <w:p w14:paraId="19121AC2" w14:textId="77777777" w:rsidR="00E62E9C" w:rsidRDefault="00E62E9C" w:rsidP="00E62E9C">
      <w:pPr>
        <w:pStyle w:val="berschrift2"/>
      </w:pPr>
      <w:bookmarkStart w:id="8" w:name="_Toc214635400"/>
      <w:r>
        <w:t>6.2 Drei ausgewählte Konzeptionen</w:t>
      </w:r>
      <w:bookmarkEnd w:id="8"/>
    </w:p>
    <w:p w14:paraId="66993B52" w14:textId="77777777" w:rsidR="00E62E9C" w:rsidRDefault="00E62E9C" w:rsidP="00E62E9C">
      <w:pPr>
        <w:pStyle w:val="berschrift3"/>
      </w:pPr>
      <w:bookmarkStart w:id="9" w:name="_Toc214635401"/>
      <w:r>
        <w:t>6.2.1 Uta Pohl-Patalong und die „Kirchlichen Orte“: Plädoyer für Unterscheidung und Z</w:t>
      </w:r>
      <w:r>
        <w:t>u</w:t>
      </w:r>
      <w:r>
        <w:t>ordnung</w:t>
      </w:r>
      <w:bookmarkEnd w:id="9"/>
    </w:p>
    <w:p w14:paraId="475DBCA6" w14:textId="3D539BDB" w:rsidR="0018132B" w:rsidRDefault="0018132B" w:rsidP="0018132B">
      <w:pPr>
        <w:jc w:val="center"/>
      </w:pPr>
      <w:r w:rsidRPr="0018132B">
        <w:drawing>
          <wp:inline distT="0" distB="0" distL="0" distR="0" wp14:anchorId="1DD47223" wp14:editId="4EFBF493">
            <wp:extent cx="3310732" cy="2481756"/>
            <wp:effectExtent l="0" t="0" r="0" b="762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955" cy="2481923"/>
                    </a:xfrm>
                    <a:prstGeom prst="rect">
                      <a:avLst/>
                    </a:prstGeom>
                    <a:noFill/>
                    <a:ln>
                      <a:noFill/>
                    </a:ln>
                  </pic:spPr>
                </pic:pic>
              </a:graphicData>
            </a:graphic>
          </wp:inline>
        </w:drawing>
      </w:r>
      <w:r>
        <w:rPr>
          <w:rStyle w:val="Funotenzeichen"/>
          <w:sz w:val="20"/>
          <w:szCs w:val="20"/>
        </w:rPr>
        <w:footnoteReference w:id="2"/>
      </w:r>
    </w:p>
    <w:p w14:paraId="2D680C7E" w14:textId="2BBD1EE8" w:rsidR="00E62E9C" w:rsidRPr="00686523" w:rsidRDefault="00E62E9C" w:rsidP="00E62E9C">
      <w:r w:rsidRPr="00686523">
        <w:t>Ihr Ansatz ist vor allem die Organisation der Kirche, die Strukturen, in denen sich kirchliches L</w:t>
      </w:r>
      <w:r w:rsidRPr="00686523">
        <w:t>e</w:t>
      </w:r>
      <w:r w:rsidRPr="00686523">
        <w:t>ben ereignet. Sie sieht vor sich eine Kirche, die flexibler ist, örtliche Schwerpunkte bildet, sich dabei be</w:t>
      </w:r>
      <w:r w:rsidRPr="00686523">
        <w:t>s</w:t>
      </w:r>
      <w:r w:rsidRPr="00686523">
        <w:t>ser ergänzt (anstatt dass alle das Gleiche tun) und zugleich mit sich erkennbar identisch ist durch ein go</w:t>
      </w:r>
      <w:r w:rsidRPr="00686523">
        <w:t>t</w:t>
      </w:r>
      <w:r w:rsidRPr="00686523">
        <w:t>tesdienstliches Leben, das den cantus firmus an all</w:t>
      </w:r>
      <w:r w:rsidR="00686523" w:rsidRPr="00686523">
        <w:t>en kirchlichen Orten darstellt.</w:t>
      </w:r>
    </w:p>
    <w:p w14:paraId="0BB40482" w14:textId="77777777" w:rsidR="00E62E9C" w:rsidRDefault="00E62E9C" w:rsidP="00E62E9C">
      <w:pPr>
        <w:pStyle w:val="berschrift4"/>
      </w:pPr>
      <w:r>
        <w:t>Im Hintergrund: Rudolf Roosens Unterscheidung von Kirche und Gemeindehaus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C94979" w14:paraId="128BB429" w14:textId="77777777" w:rsidTr="00C94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shd w:val="clear" w:color="auto" w:fill="auto"/>
          </w:tcPr>
          <w:p w14:paraId="235DDECB" w14:textId="77777777" w:rsidR="009F73DD" w:rsidRDefault="009F73DD" w:rsidP="00C94979">
            <w:pPr>
              <w:rPr>
                <w:b w:val="0"/>
                <w:sz w:val="22"/>
                <w:szCs w:val="22"/>
              </w:rPr>
            </w:pPr>
          </w:p>
          <w:p w14:paraId="0CB43A83" w14:textId="517AC9A4" w:rsidR="00C94979" w:rsidRPr="00C94979" w:rsidRDefault="00C94979" w:rsidP="00C94979">
            <w:pPr>
              <w:rPr>
                <w:b w:val="0"/>
                <w:sz w:val="22"/>
                <w:szCs w:val="22"/>
              </w:rPr>
            </w:pPr>
            <w:r w:rsidRPr="00C94979">
              <w:rPr>
                <w:b w:val="0"/>
                <w:sz w:val="22"/>
                <w:szCs w:val="22"/>
              </w:rPr>
              <w:t>Roosen analysiert den Selbstwide</w:t>
            </w:r>
            <w:r w:rsidRPr="00C94979">
              <w:rPr>
                <w:b w:val="0"/>
                <w:sz w:val="22"/>
                <w:szCs w:val="22"/>
              </w:rPr>
              <w:t>r</w:t>
            </w:r>
            <w:r w:rsidRPr="00C94979">
              <w:rPr>
                <w:b w:val="0"/>
                <w:sz w:val="22"/>
                <w:szCs w:val="22"/>
              </w:rPr>
              <w:t>spruch zwischen den Größenor</w:t>
            </w:r>
            <w:r w:rsidRPr="00C94979">
              <w:rPr>
                <w:b w:val="0"/>
                <w:sz w:val="22"/>
                <w:szCs w:val="22"/>
              </w:rPr>
              <w:t>d</w:t>
            </w:r>
            <w:r w:rsidRPr="00C94979">
              <w:rPr>
                <w:b w:val="0"/>
                <w:sz w:val="22"/>
                <w:szCs w:val="22"/>
              </w:rPr>
              <w:t>nungen „Kirche“ und „Gemeinde“ und zwar hinsich</w:t>
            </w:r>
            <w:r w:rsidRPr="00C94979">
              <w:rPr>
                <w:b w:val="0"/>
                <w:sz w:val="22"/>
                <w:szCs w:val="22"/>
              </w:rPr>
              <w:t>t</w:t>
            </w:r>
            <w:r w:rsidRPr="00C94979">
              <w:rPr>
                <w:b w:val="0"/>
                <w:sz w:val="22"/>
                <w:szCs w:val="22"/>
              </w:rPr>
              <w:t>lich der Frage, welches Maß an „Zugehöri</w:t>
            </w:r>
            <w:r w:rsidRPr="00C94979">
              <w:rPr>
                <w:b w:val="0"/>
                <w:sz w:val="22"/>
                <w:szCs w:val="22"/>
              </w:rPr>
              <w:t>g</w:t>
            </w:r>
            <w:r w:rsidRPr="00C94979">
              <w:rPr>
                <w:b w:val="0"/>
                <w:sz w:val="22"/>
                <w:szCs w:val="22"/>
              </w:rPr>
              <w:t>keit“ verlangt werden kann.</w:t>
            </w:r>
          </w:p>
        </w:tc>
        <w:tc>
          <w:tcPr>
            <w:tcW w:w="5778" w:type="dxa"/>
            <w:shd w:val="clear" w:color="auto" w:fill="auto"/>
          </w:tcPr>
          <w:p w14:paraId="7935730D" w14:textId="37648554" w:rsidR="00C94979" w:rsidRPr="0050630D" w:rsidRDefault="00C94979" w:rsidP="0050630D">
            <w:pPr>
              <w:jc w:val="center"/>
              <w:cnfStyle w:val="100000000000" w:firstRow="1" w:lastRow="0" w:firstColumn="0" w:lastColumn="0" w:oddVBand="0" w:evenVBand="0" w:oddHBand="0" w:evenHBand="0" w:firstRowFirstColumn="0" w:firstRowLastColumn="0" w:lastRowFirstColumn="0" w:lastRowLastColumn="0"/>
              <w:rPr>
                <w:b w:val="0"/>
              </w:rPr>
            </w:pPr>
            <w:r w:rsidRPr="00C94979">
              <w:drawing>
                <wp:inline distT="0" distB="0" distL="0" distR="0" wp14:anchorId="702E72AE" wp14:editId="40F28189">
                  <wp:extent cx="3391022" cy="2541942"/>
                  <wp:effectExtent l="0" t="0" r="12700" b="0"/>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761" cy="2542496"/>
                          </a:xfrm>
                          <a:prstGeom prst="rect">
                            <a:avLst/>
                          </a:prstGeom>
                          <a:noFill/>
                          <a:ln>
                            <a:noFill/>
                          </a:ln>
                        </pic:spPr>
                      </pic:pic>
                    </a:graphicData>
                  </a:graphic>
                </wp:inline>
              </w:drawing>
            </w:r>
            <w:r w:rsidRPr="00C94979">
              <w:rPr>
                <w:rStyle w:val="Funotenzeichen"/>
                <w:b w:val="0"/>
              </w:rPr>
              <w:footnoteReference w:id="3"/>
            </w:r>
          </w:p>
        </w:tc>
      </w:tr>
    </w:tbl>
    <w:p w14:paraId="6A7E7F30" w14:textId="77777777" w:rsidR="00E62E9C" w:rsidRDefault="00E62E9C" w:rsidP="00E62E9C">
      <w:pPr>
        <w:pStyle w:val="berschrift4"/>
      </w:pPr>
      <w:r>
        <w:t>Uta Pohl-Patalong setzt das kirchliche Puzzle neu zusammen: Vielfalt reloaded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3232"/>
        <w:gridCol w:w="6056"/>
      </w:tblGrid>
      <w:tr w:rsidR="00520005" w:rsidRPr="00520005" w14:paraId="244E7748" w14:textId="77777777" w:rsidTr="00520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61648D12" w14:textId="3EAC72EC" w:rsidR="00520005" w:rsidRDefault="00520005" w:rsidP="00AC191F">
            <w:pPr>
              <w:rPr>
                <w:b w:val="0"/>
                <w:sz w:val="22"/>
                <w:szCs w:val="22"/>
              </w:rPr>
            </w:pPr>
            <w:r w:rsidRPr="00520005">
              <w:rPr>
                <w:b w:val="0"/>
                <w:sz w:val="22"/>
                <w:szCs w:val="22"/>
              </w:rPr>
              <w:t>Uta Pohl-Patalong attackiert zwar nicht die Ortsg</w:t>
            </w:r>
            <w:r w:rsidRPr="00520005">
              <w:rPr>
                <w:b w:val="0"/>
                <w:sz w:val="22"/>
                <w:szCs w:val="22"/>
              </w:rPr>
              <w:t>e</w:t>
            </w:r>
            <w:r w:rsidRPr="00520005">
              <w:rPr>
                <w:b w:val="0"/>
                <w:sz w:val="22"/>
                <w:szCs w:val="22"/>
              </w:rPr>
              <w:t>meinde, aber doch den Alleinvertretungsa</w:t>
            </w:r>
            <w:r w:rsidRPr="00520005">
              <w:rPr>
                <w:b w:val="0"/>
                <w:sz w:val="22"/>
                <w:szCs w:val="22"/>
              </w:rPr>
              <w:t>n</w:t>
            </w:r>
            <w:r w:rsidRPr="00520005">
              <w:rPr>
                <w:b w:val="0"/>
                <w:sz w:val="22"/>
                <w:szCs w:val="22"/>
              </w:rPr>
              <w:t>spruch der Ortsg</w:t>
            </w:r>
            <w:r w:rsidRPr="00520005">
              <w:rPr>
                <w:b w:val="0"/>
                <w:sz w:val="22"/>
                <w:szCs w:val="22"/>
              </w:rPr>
              <w:t>e</w:t>
            </w:r>
            <w:r w:rsidRPr="00520005">
              <w:rPr>
                <w:b w:val="0"/>
                <w:sz w:val="22"/>
                <w:szCs w:val="22"/>
              </w:rPr>
              <w:t>meinde als einzig möglicher Form von G</w:t>
            </w:r>
            <w:r w:rsidRPr="00520005">
              <w:rPr>
                <w:b w:val="0"/>
                <w:sz w:val="22"/>
                <w:szCs w:val="22"/>
              </w:rPr>
              <w:t>e</w:t>
            </w:r>
            <w:r w:rsidRPr="00520005">
              <w:rPr>
                <w:b w:val="0"/>
                <w:sz w:val="22"/>
                <w:szCs w:val="22"/>
              </w:rPr>
              <w:t>meinde. Ihre Alternative zu Ort</w:t>
            </w:r>
            <w:r w:rsidRPr="00520005">
              <w:rPr>
                <w:b w:val="0"/>
                <w:sz w:val="22"/>
                <w:szCs w:val="22"/>
              </w:rPr>
              <w:t>s</w:t>
            </w:r>
            <w:r w:rsidRPr="00520005">
              <w:rPr>
                <w:b w:val="0"/>
                <w:sz w:val="22"/>
                <w:szCs w:val="22"/>
              </w:rPr>
              <w:t>gemeinden sind die „Kirchlichen Orte“</w:t>
            </w:r>
            <w:r>
              <w:rPr>
                <w:b w:val="0"/>
                <w:sz w:val="22"/>
                <w:szCs w:val="22"/>
              </w:rPr>
              <w:t xml:space="preserve">, in denen örtliche und funktionale Prinzipien </w:t>
            </w:r>
            <w:r w:rsidRPr="00520005">
              <w:rPr>
                <w:b w:val="0"/>
                <w:sz w:val="22"/>
                <w:szCs w:val="22"/>
              </w:rPr>
              <w:t>prinzipiel</w:t>
            </w:r>
            <w:r>
              <w:rPr>
                <w:b w:val="0"/>
                <w:sz w:val="22"/>
                <w:szCs w:val="22"/>
              </w:rPr>
              <w:t xml:space="preserve">l gleichberechtigt sind. </w:t>
            </w:r>
          </w:p>
          <w:p w14:paraId="66B6E9EA" w14:textId="5EDF67FD" w:rsidR="00520005" w:rsidRPr="00520005" w:rsidRDefault="00520005" w:rsidP="00AC191F">
            <w:pPr>
              <w:rPr>
                <w:b w:val="0"/>
                <w:sz w:val="22"/>
                <w:szCs w:val="22"/>
              </w:rPr>
            </w:pPr>
            <w:r>
              <w:rPr>
                <w:b w:val="0"/>
                <w:sz w:val="22"/>
                <w:szCs w:val="22"/>
              </w:rPr>
              <w:t>An jedem „Kirchlichen Ort“ we</w:t>
            </w:r>
            <w:r>
              <w:rPr>
                <w:b w:val="0"/>
                <w:sz w:val="22"/>
                <w:szCs w:val="22"/>
              </w:rPr>
              <w:t>r</w:t>
            </w:r>
            <w:r>
              <w:rPr>
                <w:b w:val="0"/>
                <w:sz w:val="22"/>
                <w:szCs w:val="22"/>
              </w:rPr>
              <w:t>den ein vereinskirchlicher und ein inhaltlicher Schwerpunkt unterschieden.</w:t>
            </w:r>
          </w:p>
        </w:tc>
        <w:tc>
          <w:tcPr>
            <w:tcW w:w="4606" w:type="dxa"/>
            <w:shd w:val="clear" w:color="C0C0C0" w:fill="auto"/>
          </w:tcPr>
          <w:p w14:paraId="1238B398" w14:textId="5878BD37" w:rsidR="00520005" w:rsidRPr="00520005" w:rsidRDefault="00520005" w:rsidP="00520005">
            <w:pPr>
              <w:cnfStyle w:val="100000000000" w:firstRow="1" w:lastRow="0" w:firstColumn="0" w:lastColumn="0" w:oddVBand="0" w:evenVBand="0" w:oddHBand="0" w:evenHBand="0" w:firstRowFirstColumn="0" w:firstRowLastColumn="0" w:lastRowFirstColumn="0" w:lastRowLastColumn="0"/>
            </w:pPr>
            <w:r w:rsidRPr="00520005">
              <w:drawing>
                <wp:inline distT="0" distB="0" distL="0" distR="0" wp14:anchorId="2AFFCC83" wp14:editId="325575CA">
                  <wp:extent cx="3698418" cy="2772369"/>
                  <wp:effectExtent l="0" t="0" r="10160" b="0"/>
                  <wp:docPr id="1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9224" cy="2772973"/>
                          </a:xfrm>
                          <a:prstGeom prst="rect">
                            <a:avLst/>
                          </a:prstGeom>
                          <a:noFill/>
                          <a:ln>
                            <a:noFill/>
                          </a:ln>
                        </pic:spPr>
                      </pic:pic>
                    </a:graphicData>
                  </a:graphic>
                </wp:inline>
              </w:drawing>
            </w:r>
          </w:p>
        </w:tc>
      </w:tr>
    </w:tbl>
    <w:p w14:paraId="77148057" w14:textId="6E3186AD" w:rsidR="00520005" w:rsidRPr="00AC191F" w:rsidRDefault="00E62E9C" w:rsidP="00520005">
      <w:pPr>
        <w:spacing w:after="200"/>
      </w:pPr>
      <w:r w:rsidRPr="00AC191F">
        <w:t>An jedem kirchlichen Ort findet in dieser Vision außerdem ein gottesdienstliches Leben statt, fre</w:t>
      </w:r>
      <w:r w:rsidRPr="00AC191F">
        <w:t>i</w:t>
      </w:r>
      <w:r w:rsidRPr="00AC191F">
        <w:t xml:space="preserve">lich nicht unbedingt </w:t>
      </w:r>
      <w:r w:rsidR="00520005" w:rsidRPr="00AC191F">
        <w:t>ein agendarischer Gottesdienst; Amtshandlungen sind möglich.</w:t>
      </w:r>
    </w:p>
    <w:p w14:paraId="7D089D85" w14:textId="2BDCA5E6" w:rsidR="00520005" w:rsidRDefault="00ED1E29" w:rsidP="00ED1E29">
      <w:pPr>
        <w:jc w:val="center"/>
      </w:pPr>
      <w:r w:rsidRPr="00ED1E29">
        <w:drawing>
          <wp:inline distT="0" distB="0" distL="0" distR="0" wp14:anchorId="400D3784" wp14:editId="253E391B">
            <wp:extent cx="3174611" cy="2379719"/>
            <wp:effectExtent l="0" t="0" r="635" b="8255"/>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4611" cy="2379719"/>
                    </a:xfrm>
                    <a:prstGeom prst="rect">
                      <a:avLst/>
                    </a:prstGeom>
                    <a:noFill/>
                    <a:ln>
                      <a:noFill/>
                    </a:ln>
                  </pic:spPr>
                </pic:pic>
              </a:graphicData>
            </a:graphic>
          </wp:inline>
        </w:drawing>
      </w:r>
    </w:p>
    <w:p w14:paraId="0886FACE" w14:textId="77777777" w:rsidR="00E62E9C" w:rsidRDefault="00E62E9C" w:rsidP="00E62E9C">
      <w:pPr>
        <w:pStyle w:val="berschrift3"/>
      </w:pPr>
      <w:bookmarkStart w:id="10" w:name="_Toc214635402"/>
      <w:r>
        <w:t>6.2.2 Gerald Kretzschmars Plädoyer für Respekt vor Distanz</w:t>
      </w:r>
      <w:bookmarkEnd w:id="10"/>
    </w:p>
    <w:p w14:paraId="4655C868" w14:textId="37EEC06A" w:rsidR="00E14A1B" w:rsidRDefault="00E14A1B" w:rsidP="00E14A1B">
      <w:pPr>
        <w:jc w:val="center"/>
      </w:pPr>
      <w:r w:rsidRPr="00E14A1B">
        <w:drawing>
          <wp:inline distT="0" distB="0" distL="0" distR="0" wp14:anchorId="095511E1" wp14:editId="08475122">
            <wp:extent cx="2968463" cy="2225189"/>
            <wp:effectExtent l="0" t="0" r="3810" b="10160"/>
            <wp:docPr id="1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0185" cy="2226480"/>
                    </a:xfrm>
                    <a:prstGeom prst="rect">
                      <a:avLst/>
                    </a:prstGeom>
                    <a:noFill/>
                    <a:ln>
                      <a:noFill/>
                    </a:ln>
                  </pic:spPr>
                </pic:pic>
              </a:graphicData>
            </a:graphic>
          </wp:inline>
        </w:drawing>
      </w:r>
      <w:r w:rsidRPr="00483E98">
        <w:rPr>
          <w:rStyle w:val="Funotenzeichen"/>
          <w:sz w:val="20"/>
        </w:rPr>
        <w:footnoteReference w:id="4"/>
      </w:r>
    </w:p>
    <w:p w14:paraId="2ED0618B" w14:textId="2DE89D5D" w:rsidR="001C0148" w:rsidRPr="00C9748A" w:rsidRDefault="00E14A1B" w:rsidP="001C0148">
      <w:r w:rsidRPr="00C9748A">
        <w:t xml:space="preserve">Kretzschmar sieht distanzierte Mitglieder nicht unter einer </w:t>
      </w:r>
      <w:r w:rsidR="0039125D">
        <w:rPr>
          <w:bCs/>
          <w:iCs/>
        </w:rPr>
        <w:t>Defizitperspektive, sondern e</w:t>
      </w:r>
      <w:r w:rsidR="001C0148" w:rsidRPr="00C9748A">
        <w:t xml:space="preserve">r schätzt die </w:t>
      </w:r>
      <w:r w:rsidR="001C0148" w:rsidRPr="00C9748A">
        <w:rPr>
          <w:bCs/>
          <w:iCs/>
        </w:rPr>
        <w:t>St</w:t>
      </w:r>
      <w:r w:rsidR="001C0148" w:rsidRPr="00C9748A">
        <w:rPr>
          <w:bCs/>
          <w:iCs/>
        </w:rPr>
        <w:t>a</w:t>
      </w:r>
      <w:r w:rsidR="001C0148" w:rsidRPr="00C9748A">
        <w:rPr>
          <w:bCs/>
          <w:iCs/>
        </w:rPr>
        <w:t xml:space="preserve">bilität </w:t>
      </w:r>
      <w:r w:rsidR="001C0148" w:rsidRPr="00C9748A">
        <w:t>der distanzierten Mitgliedschaft.</w:t>
      </w:r>
    </w:p>
    <w:p w14:paraId="6A020659" w14:textId="06650E1D" w:rsidR="001C0148" w:rsidRPr="001C0148" w:rsidRDefault="001C0148" w:rsidP="001C0148">
      <w:pPr>
        <w:ind w:left="284"/>
        <w:rPr>
          <w:i/>
          <w:lang w:eastAsia="de-DE"/>
        </w:rPr>
      </w:pPr>
      <w:r w:rsidRPr="001C0148">
        <w:rPr>
          <w:i/>
        </w:rPr>
        <w:t>„</w:t>
      </w:r>
      <w:r w:rsidRPr="001C0148">
        <w:rPr>
          <w:i/>
          <w:lang w:eastAsia="de-DE"/>
        </w:rPr>
        <w:t>Diese Art der Kirchenbindung, solide subjektive Verbundenheit bei gleichzeitig geringer Tei</w:t>
      </w:r>
      <w:r w:rsidRPr="001C0148">
        <w:rPr>
          <w:i/>
          <w:lang w:eastAsia="de-DE"/>
        </w:rPr>
        <w:t>l</w:t>
      </w:r>
      <w:r w:rsidRPr="001C0148">
        <w:rPr>
          <w:i/>
          <w:lang w:eastAsia="de-DE"/>
        </w:rPr>
        <w:t>nahme an kirchlichen Veranstaltungen, wird in den Mitgliedschaftsuntersuchungen der EKD als sogenan</w:t>
      </w:r>
      <w:r w:rsidRPr="001C0148">
        <w:rPr>
          <w:i/>
          <w:lang w:eastAsia="de-DE"/>
        </w:rPr>
        <w:t>n</w:t>
      </w:r>
      <w:r w:rsidRPr="001C0148">
        <w:rPr>
          <w:i/>
          <w:lang w:eastAsia="de-DE"/>
        </w:rPr>
        <w:t>te di</w:t>
      </w:r>
      <w:r w:rsidRPr="001C0148">
        <w:rPr>
          <w:i/>
          <w:lang w:eastAsia="de-DE"/>
        </w:rPr>
        <w:t>s</w:t>
      </w:r>
      <w:r w:rsidRPr="001C0148">
        <w:rPr>
          <w:i/>
          <w:lang w:eastAsia="de-DE"/>
        </w:rPr>
        <w:t>tanzierte Kirchlichkeit bezeichnet.“ (G. Kretzschmar</w:t>
      </w:r>
      <w:r w:rsidRPr="001C0148">
        <w:rPr>
          <w:rStyle w:val="Funotenzeichen"/>
          <w:i/>
          <w:lang w:eastAsia="de-DE"/>
        </w:rPr>
        <w:footnoteReference w:id="5"/>
      </w:r>
      <w:r w:rsidRPr="001C0148">
        <w:rPr>
          <w:i/>
          <w:lang w:eastAsia="de-DE"/>
        </w:rPr>
        <w:t>)</w:t>
      </w:r>
    </w:p>
    <w:p w14:paraId="509E203C" w14:textId="7098A556" w:rsidR="00D92FBF" w:rsidRPr="00C9748A" w:rsidRDefault="001C0148" w:rsidP="00C9748A">
      <w:r w:rsidRPr="00C9748A">
        <w:rPr>
          <w:lang w:eastAsia="de-DE"/>
        </w:rPr>
        <w:t>Kirchenbindung soll nicht mehr „mit regelmäßiger Partizipation an Gottesdiensten kirchlichen Vera</w:t>
      </w:r>
      <w:r w:rsidRPr="00C9748A">
        <w:rPr>
          <w:lang w:eastAsia="de-DE"/>
        </w:rPr>
        <w:t>n</w:t>
      </w:r>
      <w:r w:rsidRPr="00C9748A">
        <w:rPr>
          <w:lang w:eastAsia="de-DE"/>
        </w:rPr>
        <w:t>staltungen“ gleichgesetzt werden.</w:t>
      </w:r>
      <w:r w:rsidRPr="00C9748A">
        <w:rPr>
          <w:rStyle w:val="Funotenzeichen"/>
          <w:lang w:eastAsia="de-DE"/>
        </w:rPr>
        <w:footnoteReference w:id="6"/>
      </w:r>
      <w:r w:rsidRPr="00C9748A">
        <w:rPr>
          <w:lang w:eastAsia="de-DE"/>
        </w:rPr>
        <w:t xml:space="preserve"> Kretzschmar </w:t>
      </w:r>
      <w:r w:rsidR="00E14A1B" w:rsidRPr="00C9748A">
        <w:t xml:space="preserve">trachtet </w:t>
      </w:r>
      <w:r w:rsidRPr="00C9748A">
        <w:t xml:space="preserve">also </w:t>
      </w:r>
      <w:r w:rsidR="00E14A1B" w:rsidRPr="00C9748A">
        <w:rPr>
          <w:bCs/>
          <w:iCs/>
        </w:rPr>
        <w:t>nicht</w:t>
      </w:r>
      <w:r w:rsidR="00E14A1B" w:rsidRPr="00C9748A">
        <w:t xml:space="preserve"> danach, dass sich Verbunde</w:t>
      </w:r>
      <w:r w:rsidR="00E14A1B" w:rsidRPr="00C9748A">
        <w:t>n</w:t>
      </w:r>
      <w:r w:rsidR="00E14A1B" w:rsidRPr="00C9748A">
        <w:t>heit in Tei</w:t>
      </w:r>
      <w:r w:rsidR="00E14A1B" w:rsidRPr="00C9748A">
        <w:t>l</w:t>
      </w:r>
      <w:r w:rsidR="00E14A1B" w:rsidRPr="00C9748A">
        <w:t xml:space="preserve">nahme niederschlägt. </w:t>
      </w:r>
      <w:r w:rsidR="00544B85" w:rsidRPr="00C9748A">
        <w:t>„</w:t>
      </w:r>
      <w:r w:rsidRPr="00C9748A">
        <w:t>Mediatisierte Kommunikation</w:t>
      </w:r>
      <w:r w:rsidR="00544B85" w:rsidRPr="00C9748A">
        <w:t>“</w:t>
      </w:r>
      <w:r w:rsidR="00544B85" w:rsidRPr="00C9748A">
        <w:rPr>
          <w:rStyle w:val="Funotenzeichen"/>
          <w:lang w:eastAsia="de-DE"/>
        </w:rPr>
        <w:t xml:space="preserve"> </w:t>
      </w:r>
      <w:r w:rsidR="00544B85" w:rsidRPr="00C9748A">
        <w:rPr>
          <w:rStyle w:val="Funotenzeichen"/>
          <w:lang w:eastAsia="de-DE"/>
        </w:rPr>
        <w:footnoteReference w:id="7"/>
      </w:r>
      <w:r w:rsidR="00544B85" w:rsidRPr="00C9748A">
        <w:rPr>
          <w:lang w:eastAsia="de-DE"/>
        </w:rPr>
        <w:t xml:space="preserve"> </w:t>
      </w:r>
      <w:r w:rsidRPr="00C9748A">
        <w:t>lebt von Distanz, die</w:t>
      </w:r>
      <w:r w:rsidR="00544B85" w:rsidRPr="00C9748A">
        <w:t xml:space="preserve"> zeitweise zu Nähe werden kann: </w:t>
      </w:r>
      <w:r w:rsidR="00544B85" w:rsidRPr="00C9748A">
        <w:rPr>
          <w:lang w:eastAsia="de-DE"/>
        </w:rPr>
        <w:t>Der einzelne Mensch entsche</w:t>
      </w:r>
      <w:r w:rsidR="00544B85" w:rsidRPr="00C9748A">
        <w:rPr>
          <w:lang w:eastAsia="de-DE"/>
        </w:rPr>
        <w:t>i</w:t>
      </w:r>
      <w:r w:rsidR="00544B85" w:rsidRPr="00C9748A">
        <w:rPr>
          <w:lang w:eastAsia="de-DE"/>
        </w:rPr>
        <w:t xml:space="preserve">det, wie sehr er sich auf Kommunikation einlässt oder auch nicht. </w:t>
      </w:r>
      <w:r w:rsidR="00D92FBF" w:rsidRPr="00C9748A">
        <w:rPr>
          <w:lang w:eastAsia="de-DE"/>
        </w:rPr>
        <w:t>Man kommt in die Nähe und wird doch nicht vereinnahmt.</w:t>
      </w:r>
      <w:r w:rsidR="00D92FBF" w:rsidRPr="00C9748A">
        <w:rPr>
          <w:rStyle w:val="Funotenzeichen"/>
          <w:lang w:eastAsia="de-DE"/>
        </w:rPr>
        <w:footnoteReference w:id="8"/>
      </w:r>
      <w:r w:rsidR="00D92FBF" w:rsidRPr="00C9748A">
        <w:rPr>
          <w:lang w:eastAsia="de-DE"/>
        </w:rPr>
        <w:t xml:space="preserve"> </w:t>
      </w:r>
      <w:r w:rsidRPr="00C9748A">
        <w:t>So wird eine pluralisierte Gesellschaft</w:t>
      </w:r>
      <w:r w:rsidR="00544B85" w:rsidRPr="00C9748A">
        <w:t xml:space="preserve"> – und Kirche – zusammengehalten.</w:t>
      </w:r>
    </w:p>
    <w:p w14:paraId="61EFC3F7" w14:textId="6176F332" w:rsidR="00E62E9C" w:rsidRPr="001C0148" w:rsidRDefault="00E62E9C" w:rsidP="003A746E">
      <w:pPr>
        <w:ind w:left="284"/>
        <w:rPr>
          <w:i/>
          <w:lang w:eastAsia="de-DE"/>
        </w:rPr>
      </w:pPr>
      <w:bookmarkStart w:id="11" w:name="OLE_LINK15"/>
      <w:bookmarkStart w:id="12" w:name="OLE_LINK16"/>
      <w:r w:rsidRPr="001C0148">
        <w:rPr>
          <w:i/>
          <w:lang w:eastAsia="de-DE"/>
        </w:rPr>
        <w:t>„Menschen entscheiden autonom und in aller Freiheit, wie sie das Verhältnis und die Bezi</w:t>
      </w:r>
      <w:r w:rsidRPr="001C0148">
        <w:rPr>
          <w:i/>
          <w:lang w:eastAsia="de-DE"/>
        </w:rPr>
        <w:t>e</w:t>
      </w:r>
      <w:r w:rsidRPr="001C0148">
        <w:rPr>
          <w:i/>
          <w:lang w:eastAsia="de-DE"/>
        </w:rPr>
        <w:t>hung zur Kirche gestalten. Maßgeblich für die je konkrete Kontur der Kirchenbindung sind biografische A</w:t>
      </w:r>
      <w:r w:rsidRPr="001C0148">
        <w:rPr>
          <w:i/>
          <w:lang w:eastAsia="de-DE"/>
        </w:rPr>
        <w:t>s</w:t>
      </w:r>
      <w:r w:rsidRPr="001C0148">
        <w:rPr>
          <w:i/>
          <w:lang w:eastAsia="de-DE"/>
        </w:rPr>
        <w:t>pekte und die konkreten Lebensumstände. Damit wird die Kirchenbindung von Faktoren bestimmt, die sich kirchlicher Beeinflussbarkeit weitgehend entziehen. Die Gestalter der Kirchenbindung sind die Mi</w:t>
      </w:r>
      <w:r w:rsidRPr="001C0148">
        <w:rPr>
          <w:i/>
          <w:lang w:eastAsia="de-DE"/>
        </w:rPr>
        <w:t>t</w:t>
      </w:r>
      <w:r w:rsidRPr="001C0148">
        <w:rPr>
          <w:i/>
          <w:lang w:eastAsia="de-DE"/>
        </w:rPr>
        <w:t>glieder bzw. potentielle Mitglieder. Eine kirchliche Praxis, die das ernst nimmt, zeichnet sich in Sachen Kirchenbindung durch eine konsequente Nichteinmischung aus. Vielmehr sollten kirchl</w:t>
      </w:r>
      <w:r w:rsidRPr="001C0148">
        <w:rPr>
          <w:i/>
          <w:lang w:eastAsia="de-DE"/>
        </w:rPr>
        <w:t>i</w:t>
      </w:r>
      <w:r w:rsidRPr="001C0148">
        <w:rPr>
          <w:i/>
          <w:lang w:eastAsia="de-DE"/>
        </w:rPr>
        <w:t>che Strukturen weiterhin so gestaltet sein, dass sie der Fülle individueller Bindungsmuster Rec</w:t>
      </w:r>
      <w:r w:rsidRPr="001C0148">
        <w:rPr>
          <w:i/>
          <w:lang w:eastAsia="de-DE"/>
        </w:rPr>
        <w:t>h</w:t>
      </w:r>
      <w:r w:rsidRPr="001C0148">
        <w:rPr>
          <w:i/>
          <w:lang w:eastAsia="de-DE"/>
        </w:rPr>
        <w:t>nung tragen. Das breite Spektrum an individuellen bindungsrelevanten Anknüpfungspunkten, das insbesondere volkskirchlich geprägte Strukturen bislang bieten, nimmt einerseits das Auton</w:t>
      </w:r>
      <w:r w:rsidRPr="001C0148">
        <w:rPr>
          <w:i/>
          <w:lang w:eastAsia="de-DE"/>
        </w:rPr>
        <w:t>o</w:t>
      </w:r>
      <w:r w:rsidRPr="001C0148">
        <w:rPr>
          <w:i/>
          <w:lang w:eastAsia="de-DE"/>
        </w:rPr>
        <w:t>miebedürfnis der Menschen ernst. Andererseits hat es den Vorteil, dass es zu einer in der Summe gesehen stabilen und hohen Ve</w:t>
      </w:r>
      <w:r w:rsidRPr="001C0148">
        <w:rPr>
          <w:i/>
          <w:lang w:eastAsia="de-DE"/>
        </w:rPr>
        <w:t>r</w:t>
      </w:r>
      <w:r w:rsidRPr="001C0148">
        <w:rPr>
          <w:i/>
          <w:lang w:eastAsia="de-DE"/>
        </w:rPr>
        <w:t>bundenheit mit der Kirche führt. Eigentlich könnte alles so bleiben, wie es ist.“</w:t>
      </w:r>
      <w:r w:rsidR="001C0148">
        <w:rPr>
          <w:i/>
          <w:lang w:eastAsia="de-DE"/>
        </w:rPr>
        <w:t xml:space="preserve"> (Gerald Kretzschmar</w:t>
      </w:r>
      <w:r w:rsidR="001C0148" w:rsidRPr="001C0148">
        <w:rPr>
          <w:rStyle w:val="Funotenzeichen"/>
          <w:lang w:eastAsia="de-DE"/>
        </w:rPr>
        <w:footnoteReference w:id="9"/>
      </w:r>
      <w:r w:rsidR="001C0148">
        <w:rPr>
          <w:i/>
          <w:lang w:eastAsia="de-DE"/>
        </w:rPr>
        <w:t>)</w:t>
      </w:r>
    </w:p>
    <w:bookmarkEnd w:id="11"/>
    <w:bookmarkEnd w:id="12"/>
    <w:p w14:paraId="7174B405" w14:textId="036D8C53" w:rsidR="003A746E" w:rsidRDefault="003A746E" w:rsidP="00E62E9C">
      <w:pPr>
        <w:rPr>
          <w:lang w:eastAsia="de-DE"/>
        </w:rPr>
      </w:pPr>
      <w:r>
        <w:rPr>
          <w:lang w:eastAsia="de-DE"/>
        </w:rPr>
        <w:t xml:space="preserve">Positiv sagt </w:t>
      </w:r>
      <w:r w:rsidR="00E62E9C">
        <w:rPr>
          <w:lang w:eastAsia="de-DE"/>
        </w:rPr>
        <w:t xml:space="preserve">Kretzschmar, was man stärken sollte: </w:t>
      </w:r>
      <w:r>
        <w:rPr>
          <w:lang w:eastAsia="de-DE"/>
        </w:rPr>
        <w:t>D</w:t>
      </w:r>
      <w:r w:rsidR="00E62E9C">
        <w:rPr>
          <w:lang w:eastAsia="de-DE"/>
        </w:rPr>
        <w:t>rei Themenschwerpunkte</w:t>
      </w:r>
      <w:r>
        <w:rPr>
          <w:lang w:eastAsia="de-DE"/>
        </w:rPr>
        <w:t xml:space="preserve"> haben eine </w:t>
      </w:r>
      <w:r w:rsidR="00E62E9C">
        <w:rPr>
          <w:lang w:eastAsia="de-DE"/>
        </w:rPr>
        <w:t>besonders hohe Bindungsrelevanz, nämlich er</w:t>
      </w:r>
      <w:r w:rsidR="00E62E9C">
        <w:rPr>
          <w:lang w:eastAsia="de-DE"/>
        </w:rPr>
        <w:t>s</w:t>
      </w:r>
      <w:r w:rsidR="00E62E9C">
        <w:rPr>
          <w:lang w:eastAsia="de-DE"/>
        </w:rPr>
        <w:t>tens das diakonische E</w:t>
      </w:r>
      <w:r>
        <w:rPr>
          <w:lang w:eastAsia="de-DE"/>
        </w:rPr>
        <w:t>ngagem</w:t>
      </w:r>
      <w:r w:rsidR="00E62E9C">
        <w:rPr>
          <w:lang w:eastAsia="de-DE"/>
        </w:rPr>
        <w:t>ent für Einzelne, das man schätzt und wichtig findet, zweitens die geistliche Begleitung durch Kasualien, die man für bedeutsam hält, und drittens das gottesdiens</w:t>
      </w:r>
      <w:r w:rsidR="00E62E9C">
        <w:rPr>
          <w:lang w:eastAsia="de-DE"/>
        </w:rPr>
        <w:t>t</w:t>
      </w:r>
      <w:r w:rsidR="00E62E9C">
        <w:rPr>
          <w:lang w:eastAsia="de-DE"/>
        </w:rPr>
        <w:t>lich-geistliche Handeln, unabhängig davon, ob man daran teilnimmt – so entspricht es auch den in der KMU festgestellten Erwartungen.</w:t>
      </w:r>
      <w:r w:rsidR="00E62E9C">
        <w:rPr>
          <w:rStyle w:val="Funotenzeichen"/>
          <w:lang w:eastAsia="de-DE"/>
        </w:rPr>
        <w:footnoteReference w:id="10"/>
      </w:r>
      <w:r w:rsidR="00E62E9C">
        <w:rPr>
          <w:lang w:eastAsia="de-DE"/>
        </w:rPr>
        <w:t xml:space="preserve"> </w:t>
      </w:r>
    </w:p>
    <w:p w14:paraId="54949FEB" w14:textId="23FDA32F" w:rsidR="00286169" w:rsidRDefault="00C9748A" w:rsidP="00E62E9C">
      <w:pPr>
        <w:rPr>
          <w:lang w:eastAsia="de-DE"/>
        </w:rPr>
      </w:pPr>
      <w:r>
        <w:rPr>
          <w:lang w:eastAsia="de-DE"/>
        </w:rPr>
        <w:t xml:space="preserve">Kretzschmars </w:t>
      </w:r>
      <w:r w:rsidR="00E62E9C">
        <w:rPr>
          <w:lang w:eastAsia="de-DE"/>
        </w:rPr>
        <w:t>Konsequenzen: Da die Ressou</w:t>
      </w:r>
      <w:r w:rsidR="00E62E9C">
        <w:rPr>
          <w:lang w:eastAsia="de-DE"/>
        </w:rPr>
        <w:t>r</w:t>
      </w:r>
      <w:r w:rsidR="00E62E9C">
        <w:rPr>
          <w:lang w:eastAsia="de-DE"/>
        </w:rPr>
        <w:t>cen knapp und die Erwartungen der Mitglieder stabil sind, wäre es nicht sinnvoll, Änderungen im kirchlichen System vorzunehmen, die obendrein Geld ko</w:t>
      </w:r>
      <w:r w:rsidR="00E62E9C">
        <w:rPr>
          <w:lang w:eastAsia="de-DE"/>
        </w:rPr>
        <w:t>s</w:t>
      </w:r>
      <w:r w:rsidR="00E62E9C">
        <w:rPr>
          <w:lang w:eastAsia="de-DE"/>
        </w:rPr>
        <w:t>ten.</w:t>
      </w:r>
      <w:r w:rsidR="00E62E9C">
        <w:rPr>
          <w:rStyle w:val="Funotenzeichen"/>
          <w:lang w:eastAsia="de-DE"/>
        </w:rPr>
        <w:footnoteReference w:id="11"/>
      </w:r>
      <w:r w:rsidR="00E62E9C">
        <w:rPr>
          <w:lang w:eastAsia="de-DE"/>
        </w:rPr>
        <w:t xml:space="preserve"> </w:t>
      </w:r>
    </w:p>
    <w:p w14:paraId="43B4EE5F" w14:textId="74CA9F11" w:rsidR="00E62E9C" w:rsidRPr="00286169" w:rsidRDefault="00E62E9C" w:rsidP="00286169">
      <w:pPr>
        <w:ind w:left="284"/>
        <w:rPr>
          <w:i/>
          <w:lang w:eastAsia="de-DE"/>
        </w:rPr>
      </w:pPr>
      <w:r w:rsidRPr="00286169">
        <w:rPr>
          <w:i/>
          <w:lang w:eastAsia="de-DE"/>
        </w:rPr>
        <w:t>„Wo kirchliche Strukturreformen auf die Gewährleistung einer starken Position der Gemeindepfa</w:t>
      </w:r>
      <w:r w:rsidRPr="00286169">
        <w:rPr>
          <w:i/>
          <w:lang w:eastAsia="de-DE"/>
        </w:rPr>
        <w:t>r</w:t>
      </w:r>
      <w:r w:rsidRPr="00286169">
        <w:rPr>
          <w:i/>
          <w:lang w:eastAsia="de-DE"/>
        </w:rPr>
        <w:t>rerinnen und Gemeindepfarrer zielen, wird man sowohl in Bezug auf die Empirie der Kirchenbi</w:t>
      </w:r>
      <w:r w:rsidRPr="00286169">
        <w:rPr>
          <w:i/>
          <w:lang w:eastAsia="de-DE"/>
        </w:rPr>
        <w:t>n</w:t>
      </w:r>
      <w:r w:rsidRPr="00286169">
        <w:rPr>
          <w:i/>
          <w:lang w:eastAsia="de-DE"/>
        </w:rPr>
        <w:t>dung als auch in Bezug auf den Auftrag der Kirche nichts falsch machen.“</w:t>
      </w:r>
      <w:r w:rsidRPr="00286169">
        <w:rPr>
          <w:rStyle w:val="Funotenzeichen"/>
          <w:i/>
          <w:lang w:eastAsia="de-DE"/>
        </w:rPr>
        <w:footnoteReference w:id="12"/>
      </w:r>
    </w:p>
    <w:p w14:paraId="67EE4234" w14:textId="3A6EC565" w:rsidR="00286169" w:rsidRDefault="00286169" w:rsidP="00E62E9C">
      <w:pPr>
        <w:rPr>
          <w:lang w:eastAsia="de-DE"/>
        </w:rPr>
      </w:pPr>
      <w:r>
        <w:rPr>
          <w:lang w:eastAsia="de-DE"/>
        </w:rPr>
        <w:t>Meine Einschätzung:</w:t>
      </w:r>
    </w:p>
    <w:p w14:paraId="4775F051" w14:textId="1BA5A815" w:rsidR="00E62E9C" w:rsidRDefault="00E62E9C" w:rsidP="00286169">
      <w:pPr>
        <w:pStyle w:val="Listenabsatz"/>
        <w:numPr>
          <w:ilvl w:val="0"/>
          <w:numId w:val="30"/>
        </w:numPr>
        <w:rPr>
          <w:lang w:eastAsia="de-DE"/>
        </w:rPr>
      </w:pPr>
      <w:r>
        <w:rPr>
          <w:lang w:eastAsia="de-DE"/>
        </w:rPr>
        <w:t>Ich teile nicht die Ausgangsbedingung, dass dieses System doch erstaunlich stabil dasteht. „Weiter so“ kann darum nicht die Devise sein.</w:t>
      </w:r>
    </w:p>
    <w:p w14:paraId="12912A92" w14:textId="5292C85B" w:rsidR="00E62E9C" w:rsidRDefault="00E62E9C" w:rsidP="00286169">
      <w:pPr>
        <w:pStyle w:val="Listenabsatz"/>
        <w:numPr>
          <w:ilvl w:val="0"/>
          <w:numId w:val="30"/>
        </w:numPr>
        <w:rPr>
          <w:lang w:eastAsia="de-DE"/>
        </w:rPr>
      </w:pPr>
      <w:r>
        <w:rPr>
          <w:lang w:eastAsia="de-DE"/>
        </w:rPr>
        <w:t>Ich teile nicht die Ausgangsbedingung, dass wir es in Wahrheit mit lauter religiös mündigen Subjekten zu tun haben, deren Glaube nur der Begleitung aus der Ferne bedarf</w:t>
      </w:r>
      <w:r w:rsidR="00286169">
        <w:rPr>
          <w:lang w:eastAsia="de-DE"/>
        </w:rPr>
        <w:t xml:space="preserve"> – schon gar nicht in Blick auf Konfessionslose</w:t>
      </w:r>
      <w:r>
        <w:rPr>
          <w:lang w:eastAsia="de-DE"/>
        </w:rPr>
        <w:t xml:space="preserve">. </w:t>
      </w:r>
    </w:p>
    <w:p w14:paraId="661AE007" w14:textId="77777777" w:rsidR="00E62E9C" w:rsidRDefault="00E62E9C" w:rsidP="00286169">
      <w:pPr>
        <w:pStyle w:val="Listenabsatz"/>
        <w:numPr>
          <w:ilvl w:val="0"/>
          <w:numId w:val="30"/>
        </w:numPr>
        <w:rPr>
          <w:lang w:eastAsia="de-DE"/>
        </w:rPr>
      </w:pPr>
      <w:r>
        <w:rPr>
          <w:lang w:eastAsia="de-DE"/>
        </w:rPr>
        <w:t>Ich teile nicht die Ausgangsbedingung, dass die in irgendeinem Sinn regelmäßige Versam</w:t>
      </w:r>
      <w:r>
        <w:rPr>
          <w:lang w:eastAsia="de-DE"/>
        </w:rPr>
        <w:t>m</w:t>
      </w:r>
      <w:r>
        <w:rPr>
          <w:lang w:eastAsia="de-DE"/>
        </w:rPr>
        <w:t>lung unter Wort und Sakrament nur Sache einer kleinen Minderheit sein darf, während der Bestand der Kirche das eigentliche Thema ist. Umgekehrt interessiert mich der Bestand der Kirche nur solange und nur insofern, als dass diese Kirche dem Zusammenkommen lebend</w:t>
      </w:r>
      <w:r>
        <w:rPr>
          <w:lang w:eastAsia="de-DE"/>
        </w:rPr>
        <w:t>i</w:t>
      </w:r>
      <w:r>
        <w:rPr>
          <w:lang w:eastAsia="de-DE"/>
        </w:rPr>
        <w:t>ger Gemeinden Raum gibt und mö</w:t>
      </w:r>
      <w:r>
        <w:rPr>
          <w:lang w:eastAsia="de-DE"/>
        </w:rPr>
        <w:t>g</w:t>
      </w:r>
      <w:r>
        <w:rPr>
          <w:lang w:eastAsia="de-DE"/>
        </w:rPr>
        <w:t>lichst viele dort auch versammelt.</w:t>
      </w:r>
    </w:p>
    <w:p w14:paraId="6570DA3D" w14:textId="77777777" w:rsidR="00AF6C0F" w:rsidRDefault="00E62E9C" w:rsidP="00AF6C0F">
      <w:pPr>
        <w:pStyle w:val="berschrift3"/>
        <w:rPr>
          <w:lang w:eastAsia="de-DE"/>
        </w:rPr>
      </w:pPr>
      <w:bookmarkStart w:id="15" w:name="_Toc214635403"/>
      <w:r>
        <w:rPr>
          <w:lang w:eastAsia="de-DE"/>
        </w:rPr>
        <w:t>6.2.3 Isolde Karle sieht die Kirche im Reformstress: Plädoyer für die Pastoren- und Kasua</w:t>
      </w:r>
      <w:r>
        <w:rPr>
          <w:lang w:eastAsia="de-DE"/>
        </w:rPr>
        <w:t>l</w:t>
      </w:r>
      <w:r>
        <w:rPr>
          <w:lang w:eastAsia="de-DE"/>
        </w:rPr>
        <w:t>kirche</w:t>
      </w:r>
      <w:bookmarkEnd w:id="15"/>
      <w:r>
        <w:rPr>
          <w:rStyle w:val="Funotenzeichen"/>
          <w:lang w:eastAsia="de-DE"/>
        </w:rPr>
        <w:footnoteReference w:id="13"/>
      </w:r>
      <w:r>
        <w:rPr>
          <w:lang w:eastAsia="de-D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44"/>
        <w:gridCol w:w="4644"/>
      </w:tblGrid>
      <w:tr w:rsidR="00AF6C0F" w14:paraId="0A487F7F" w14:textId="77777777" w:rsidTr="00AF6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5D6F471F" w14:textId="3407F25E" w:rsidR="00AF6C0F" w:rsidRDefault="00AF6C0F" w:rsidP="00E62E9C">
            <w:pPr>
              <w:rPr>
                <w:lang w:eastAsia="de-DE"/>
              </w:rPr>
            </w:pPr>
            <w:r>
              <w:rPr>
                <w:noProof/>
                <w:lang w:eastAsia="de-DE"/>
              </w:rPr>
              <w:drawing>
                <wp:inline distT="0" distB="0" distL="0" distR="0" wp14:anchorId="4EE9C4EA" wp14:editId="28D79369">
                  <wp:extent cx="2957082" cy="2217893"/>
                  <wp:effectExtent l="0" t="0" r="0" b="0"/>
                  <wp:docPr id="2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7643" cy="2218314"/>
                          </a:xfrm>
                          <a:prstGeom prst="rect">
                            <a:avLst/>
                          </a:prstGeom>
                          <a:noFill/>
                          <a:ln>
                            <a:noFill/>
                          </a:ln>
                        </pic:spPr>
                      </pic:pic>
                    </a:graphicData>
                  </a:graphic>
                </wp:inline>
              </w:drawing>
            </w:r>
          </w:p>
        </w:tc>
        <w:tc>
          <w:tcPr>
            <w:tcW w:w="4606" w:type="dxa"/>
            <w:shd w:val="clear" w:color="C0C0C0" w:fill="auto"/>
          </w:tcPr>
          <w:p w14:paraId="11086648" w14:textId="3AC6F938" w:rsidR="00AF6C0F" w:rsidRDefault="00AF6C0F" w:rsidP="00E62E9C">
            <w:pPr>
              <w:cnfStyle w:val="100000000000" w:firstRow="1" w:lastRow="0" w:firstColumn="0" w:lastColumn="0" w:oddVBand="0" w:evenVBand="0" w:oddHBand="0" w:evenHBand="0" w:firstRowFirstColumn="0" w:firstRowLastColumn="0" w:lastRowFirstColumn="0" w:lastRowLastColumn="0"/>
              <w:rPr>
                <w:lang w:eastAsia="de-DE"/>
              </w:rPr>
            </w:pPr>
            <w:r>
              <w:rPr>
                <w:noProof/>
                <w:lang w:eastAsia="de-DE"/>
              </w:rPr>
              <w:drawing>
                <wp:inline distT="0" distB="0" distL="0" distR="0" wp14:anchorId="62943747" wp14:editId="6D3FDB08">
                  <wp:extent cx="2957082" cy="2217893"/>
                  <wp:effectExtent l="0" t="0" r="0" b="0"/>
                  <wp:docPr id="2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7451" cy="2218169"/>
                          </a:xfrm>
                          <a:prstGeom prst="rect">
                            <a:avLst/>
                          </a:prstGeom>
                          <a:noFill/>
                          <a:ln>
                            <a:noFill/>
                          </a:ln>
                        </pic:spPr>
                      </pic:pic>
                    </a:graphicData>
                  </a:graphic>
                </wp:inline>
              </w:drawing>
            </w:r>
          </w:p>
        </w:tc>
      </w:tr>
    </w:tbl>
    <w:p w14:paraId="5630AE79" w14:textId="28F8815E" w:rsidR="00E62E9C" w:rsidRPr="00582459" w:rsidRDefault="00E62E9C" w:rsidP="00E62E9C">
      <w:pPr>
        <w:rPr>
          <w:lang w:eastAsia="de-DE"/>
        </w:rPr>
      </w:pPr>
      <w:r w:rsidRPr="00582459">
        <w:rPr>
          <w:lang w:eastAsia="de-DE"/>
        </w:rPr>
        <w:t>Die Ortsgemeinde ist kein „kirchliches Auslaufmodell“</w:t>
      </w:r>
      <w:r w:rsidRPr="00582459">
        <w:rPr>
          <w:rStyle w:val="Funotenzeichen"/>
          <w:lang w:eastAsia="de-DE"/>
        </w:rPr>
        <w:footnoteReference w:id="14"/>
      </w:r>
      <w:r w:rsidRPr="00582459">
        <w:rPr>
          <w:lang w:eastAsia="de-DE"/>
        </w:rPr>
        <w:t>. Hier gesta</w:t>
      </w:r>
      <w:r w:rsidRPr="00582459">
        <w:rPr>
          <w:lang w:eastAsia="de-DE"/>
        </w:rPr>
        <w:t>l</w:t>
      </w:r>
      <w:r w:rsidRPr="00582459">
        <w:rPr>
          <w:lang w:eastAsia="de-DE"/>
        </w:rPr>
        <w:t xml:space="preserve">ten – so </w:t>
      </w:r>
      <w:r w:rsidR="00AF6C0F" w:rsidRPr="00582459">
        <w:rPr>
          <w:lang w:eastAsia="de-DE"/>
        </w:rPr>
        <w:t xml:space="preserve">Karle </w:t>
      </w:r>
      <w:r w:rsidRPr="00582459">
        <w:rPr>
          <w:lang w:eastAsia="de-DE"/>
        </w:rPr>
        <w:t>– „Menschen aus den unterschiedlichsten Milieus“ das gemeindliche Leben. Hier gewinnt Kirche „Kontur und Anscha</w:t>
      </w:r>
      <w:r w:rsidRPr="00582459">
        <w:rPr>
          <w:lang w:eastAsia="de-DE"/>
        </w:rPr>
        <w:t>u</w:t>
      </w:r>
      <w:r w:rsidRPr="00582459">
        <w:rPr>
          <w:lang w:eastAsia="de-DE"/>
        </w:rPr>
        <w:t>lichkeit“.</w:t>
      </w:r>
      <w:r w:rsidRPr="00582459">
        <w:rPr>
          <w:rStyle w:val="Funotenzeichen"/>
          <w:lang w:eastAsia="de-DE"/>
        </w:rPr>
        <w:footnoteReference w:id="15"/>
      </w:r>
      <w:r w:rsidRPr="00582459">
        <w:rPr>
          <w:lang w:eastAsia="de-DE"/>
        </w:rPr>
        <w:t xml:space="preserve"> Hier ist direkte, nicht mediatisierte (!), leibliche Begegnung möglich, die Menschen so dringend brauchen.</w:t>
      </w:r>
      <w:r w:rsidRPr="00582459">
        <w:rPr>
          <w:rStyle w:val="Funotenzeichen"/>
          <w:lang w:eastAsia="de-DE"/>
        </w:rPr>
        <w:footnoteReference w:id="16"/>
      </w:r>
      <w:r w:rsidRPr="00582459">
        <w:rPr>
          <w:lang w:eastAsia="de-DE"/>
        </w:rPr>
        <w:t xml:space="preserve"> </w:t>
      </w:r>
      <w:bookmarkStart w:id="16" w:name="_GoBack"/>
      <w:bookmarkEnd w:id="16"/>
    </w:p>
    <w:p w14:paraId="44169244" w14:textId="4E9CD249" w:rsidR="00582459" w:rsidRPr="00582459" w:rsidRDefault="00E62E9C" w:rsidP="00582459">
      <w:pPr>
        <w:ind w:left="284"/>
        <w:rPr>
          <w:i/>
          <w:lang w:eastAsia="de-DE"/>
        </w:rPr>
      </w:pPr>
      <w:r w:rsidRPr="00582459">
        <w:rPr>
          <w:i/>
          <w:lang w:eastAsia="de-DE"/>
        </w:rPr>
        <w:t>„Es bedarf des Wohnens in einer konkreten Religion, um religiöse Kommunikation verstehen und begreifen zu können und dadurch als Individuum bereichert und gebildet zu werden.“</w:t>
      </w:r>
      <w:r w:rsidRPr="00582459">
        <w:rPr>
          <w:rStyle w:val="Funotenzeichen"/>
          <w:i/>
          <w:lang w:eastAsia="de-DE"/>
        </w:rPr>
        <w:footnoteReference w:id="17"/>
      </w:r>
      <w:r w:rsidRPr="00582459">
        <w:rPr>
          <w:i/>
          <w:lang w:eastAsia="de-DE"/>
        </w:rPr>
        <w:t xml:space="preserve"> </w:t>
      </w:r>
      <w:bookmarkStart w:id="17" w:name="OLE_LINK23"/>
      <w:bookmarkStart w:id="18" w:name="OLE_LINK24"/>
    </w:p>
    <w:p w14:paraId="30F620D5" w14:textId="77777777" w:rsidR="00582459" w:rsidRPr="00582459" w:rsidRDefault="00E62E9C" w:rsidP="00582459">
      <w:pPr>
        <w:ind w:left="284"/>
        <w:rPr>
          <w:lang w:eastAsia="de-DE"/>
        </w:rPr>
      </w:pPr>
      <w:r w:rsidRPr="00582459">
        <w:rPr>
          <w:i/>
          <w:lang w:eastAsia="de-DE"/>
        </w:rPr>
        <w:t>„Kirche realisiert sich primär und zuerst in und als Gemeinde und hat nur als Gemeindekirche Z</w:t>
      </w:r>
      <w:r w:rsidRPr="00582459">
        <w:rPr>
          <w:i/>
          <w:lang w:eastAsia="de-DE"/>
        </w:rPr>
        <w:t>u</w:t>
      </w:r>
      <w:r w:rsidRPr="00582459">
        <w:rPr>
          <w:i/>
          <w:lang w:eastAsia="de-DE"/>
        </w:rPr>
        <w:t>kunft.“</w:t>
      </w:r>
      <w:r w:rsidRPr="00582459">
        <w:rPr>
          <w:rStyle w:val="Funotenzeichen"/>
          <w:lang w:eastAsia="de-DE"/>
        </w:rPr>
        <w:footnoteReference w:id="18"/>
      </w:r>
      <w:bookmarkEnd w:id="17"/>
      <w:bookmarkEnd w:id="18"/>
      <w:r w:rsidRPr="00582459">
        <w:rPr>
          <w:lang w:eastAsia="de-DE"/>
        </w:rPr>
        <w:t xml:space="preserve"> </w:t>
      </w:r>
    </w:p>
    <w:p w14:paraId="1F3A40A2" w14:textId="58223BAC" w:rsidR="00425AC6" w:rsidRPr="00425AC6" w:rsidRDefault="00425AC6" w:rsidP="00425AC6">
      <w:pPr>
        <w:keepNext/>
        <w:ind w:left="284"/>
        <w:rPr>
          <w:rFonts w:asciiTheme="minorHAnsi" w:hAnsiTheme="minorHAnsi"/>
          <w:i/>
          <w:lang w:eastAsia="de-DE"/>
        </w:rPr>
      </w:pPr>
      <w:r>
        <w:rPr>
          <w:rFonts w:asciiTheme="minorHAnsi" w:hAnsiTheme="minorHAnsi"/>
          <w:i/>
          <w:lang w:eastAsia="de-DE"/>
        </w:rPr>
        <w:t>„</w:t>
      </w:r>
      <w:r w:rsidRPr="00425AC6">
        <w:rPr>
          <w:rFonts w:asciiTheme="minorHAnsi" w:hAnsiTheme="minorHAnsi"/>
          <w:i/>
          <w:lang w:eastAsia="de-DE"/>
        </w:rPr>
        <w:t>Der Pfarrberuf ist der Schlüsselberuf für die evangelische Kirche.“</w:t>
      </w:r>
      <w:r w:rsidRPr="00425AC6">
        <w:rPr>
          <w:rStyle w:val="Funotenzeichen"/>
          <w:rFonts w:asciiTheme="minorHAnsi" w:hAnsiTheme="minorHAnsi"/>
          <w:i/>
          <w:lang w:eastAsia="de-DE"/>
        </w:rPr>
        <w:footnoteReference w:id="19"/>
      </w:r>
      <w:r w:rsidRPr="00425AC6">
        <w:rPr>
          <w:rFonts w:asciiTheme="minorHAnsi" w:hAnsiTheme="minorHAnsi"/>
          <w:i/>
          <w:lang w:eastAsia="de-DE"/>
        </w:rPr>
        <w:t xml:space="preserve"> </w:t>
      </w:r>
    </w:p>
    <w:p w14:paraId="7A43547F" w14:textId="271CA7EE" w:rsidR="00425AC6" w:rsidRPr="00425AC6" w:rsidRDefault="00E62E9C" w:rsidP="00E62E9C">
      <w:pPr>
        <w:rPr>
          <w:rFonts w:asciiTheme="minorHAnsi" w:hAnsiTheme="minorHAnsi" w:cs="Lucida Grande"/>
          <w:lang w:eastAsia="de-DE"/>
        </w:rPr>
      </w:pPr>
      <w:r w:rsidRPr="00425AC6">
        <w:rPr>
          <w:rFonts w:asciiTheme="minorHAnsi" w:hAnsiTheme="minorHAnsi"/>
          <w:lang w:eastAsia="de-DE"/>
        </w:rPr>
        <w:t>Milieuübergreifend hält das Pfarramt die intensiven und die distanzierten Beteiligungsformen beie</w:t>
      </w:r>
      <w:r w:rsidRPr="00425AC6">
        <w:rPr>
          <w:rFonts w:asciiTheme="minorHAnsi" w:hAnsiTheme="minorHAnsi"/>
          <w:lang w:eastAsia="de-DE"/>
        </w:rPr>
        <w:t>i</w:t>
      </w:r>
      <w:r w:rsidRPr="00425AC6">
        <w:rPr>
          <w:rFonts w:asciiTheme="minorHAnsi" w:hAnsiTheme="minorHAnsi"/>
          <w:lang w:eastAsia="de-DE"/>
        </w:rPr>
        <w:t>nander.</w:t>
      </w:r>
      <w:r w:rsidRPr="00425AC6">
        <w:rPr>
          <w:rStyle w:val="Funotenzeichen"/>
          <w:rFonts w:asciiTheme="minorHAnsi" w:hAnsiTheme="minorHAnsi"/>
          <w:lang w:eastAsia="de-DE"/>
        </w:rPr>
        <w:footnoteReference w:id="20"/>
      </w:r>
      <w:r w:rsidR="00425AC6" w:rsidRPr="00425AC6">
        <w:rPr>
          <w:rFonts w:asciiTheme="minorHAnsi" w:hAnsiTheme="minorHAnsi" w:cs="Lucida Grande"/>
          <w:lang w:eastAsia="de-DE"/>
        </w:rPr>
        <w:t xml:space="preserve"> </w:t>
      </w:r>
      <w:bookmarkStart w:id="19" w:name="OLE_LINK25"/>
      <w:bookmarkStart w:id="20" w:name="OLE_LINK26"/>
      <w:r w:rsidR="00425AC6" w:rsidRPr="00425AC6">
        <w:rPr>
          <w:lang w:eastAsia="de-DE"/>
        </w:rPr>
        <w:t>Theologisch ko</w:t>
      </w:r>
      <w:r w:rsidR="00425AC6" w:rsidRPr="00425AC6">
        <w:rPr>
          <w:lang w:eastAsia="de-DE"/>
        </w:rPr>
        <w:t>m</w:t>
      </w:r>
      <w:r w:rsidR="00425AC6" w:rsidRPr="00425AC6">
        <w:rPr>
          <w:lang w:eastAsia="de-DE"/>
        </w:rPr>
        <w:t>petente Pfarrer mit Charisma und Glaubwürdigkeit soll man bitte in den Gemeinden autonom entscheiden lassen, was sie wann und wie tun, und nicht durch Refor</w:t>
      </w:r>
      <w:r w:rsidR="00425AC6" w:rsidRPr="00425AC6">
        <w:rPr>
          <w:lang w:eastAsia="de-DE"/>
        </w:rPr>
        <w:t>m</w:t>
      </w:r>
      <w:r w:rsidR="00425AC6" w:rsidRPr="00425AC6">
        <w:rPr>
          <w:lang w:eastAsia="de-DE"/>
        </w:rPr>
        <w:t>stress von oben dirigieren. Das ist ein zentrales Kampffeld, denn einer der schmerzhaftesten Kriti</w:t>
      </w:r>
      <w:r w:rsidR="00425AC6" w:rsidRPr="00425AC6">
        <w:rPr>
          <w:lang w:eastAsia="de-DE"/>
        </w:rPr>
        <w:t>k</w:t>
      </w:r>
      <w:r w:rsidR="00425AC6" w:rsidRPr="00425AC6">
        <w:rPr>
          <w:lang w:eastAsia="de-DE"/>
        </w:rPr>
        <w:t>punkte von „Kirche der Freiheit“ betraf auch die Qualität der pastoralen Arbeit und das Verlangen nach mehr Qualität</w:t>
      </w:r>
      <w:r w:rsidR="00425AC6" w:rsidRPr="00425AC6">
        <w:rPr>
          <w:lang w:eastAsia="de-DE"/>
        </w:rPr>
        <w:t>s</w:t>
      </w:r>
      <w:r w:rsidR="00425AC6" w:rsidRPr="00425AC6">
        <w:rPr>
          <w:lang w:eastAsia="de-DE"/>
        </w:rPr>
        <w:t xml:space="preserve">kontrolle. </w:t>
      </w:r>
    </w:p>
    <w:bookmarkEnd w:id="19"/>
    <w:bookmarkEnd w:id="20"/>
    <w:p w14:paraId="63725601" w14:textId="77777777" w:rsidR="00425AC6" w:rsidRDefault="00E62E9C" w:rsidP="00E62E9C">
      <w:pPr>
        <w:rPr>
          <w:lang w:eastAsia="de-DE"/>
        </w:rPr>
      </w:pPr>
      <w:r>
        <w:rPr>
          <w:lang w:eastAsia="de-DE"/>
        </w:rPr>
        <w:t xml:space="preserve">Den </w:t>
      </w:r>
      <w:r w:rsidRPr="00933B63">
        <w:rPr>
          <w:b/>
          <w:i/>
          <w:lang w:eastAsia="de-DE"/>
        </w:rPr>
        <w:t>Einzug ökonomischen Denkens</w:t>
      </w:r>
      <w:r>
        <w:rPr>
          <w:lang w:eastAsia="de-DE"/>
        </w:rPr>
        <w:t xml:space="preserve"> kritisiert die Bochumer Kollegin scharf: Theologie sei nur noch eine Zweitcodierung, das wirtschaftliche Denken habe die Führung übernommen. </w:t>
      </w:r>
    </w:p>
    <w:p w14:paraId="07F90A14" w14:textId="225A1D00" w:rsidR="00425AC6" w:rsidRPr="00F737A5" w:rsidRDefault="00425AC6" w:rsidP="00F737A5">
      <w:pPr>
        <w:ind w:left="284"/>
        <w:rPr>
          <w:i/>
          <w:lang w:eastAsia="de-DE"/>
        </w:rPr>
      </w:pPr>
      <w:bookmarkStart w:id="21" w:name="OLE_LINK27"/>
      <w:bookmarkStart w:id="22" w:name="OLE_LINK28"/>
      <w:r w:rsidRPr="00425AC6">
        <w:rPr>
          <w:i/>
          <w:lang w:eastAsia="de-DE"/>
        </w:rPr>
        <w:t>„</w:t>
      </w:r>
      <w:r w:rsidR="00E62E9C" w:rsidRPr="00425AC6">
        <w:rPr>
          <w:i/>
          <w:lang w:eastAsia="de-DE"/>
        </w:rPr>
        <w:t>Zuviel Akkomodation trägt den Keim der Selbstauflösung in sich.“</w:t>
      </w:r>
      <w:bookmarkEnd w:id="21"/>
      <w:bookmarkEnd w:id="22"/>
      <w:r w:rsidR="00E62E9C" w:rsidRPr="00425AC6">
        <w:rPr>
          <w:rStyle w:val="Funotenzeichen"/>
          <w:i/>
          <w:lang w:eastAsia="de-DE"/>
        </w:rPr>
        <w:footnoteReference w:id="21"/>
      </w:r>
      <w:r w:rsidR="00E62E9C" w:rsidRPr="00425AC6">
        <w:rPr>
          <w:i/>
          <w:lang w:eastAsia="de-DE"/>
        </w:rPr>
        <w:t xml:space="preserve"> </w:t>
      </w:r>
    </w:p>
    <w:p w14:paraId="3F892D5D" w14:textId="0C9E227A" w:rsidR="00425AC6" w:rsidRDefault="00425AC6" w:rsidP="00E62E9C">
      <w:pPr>
        <w:rPr>
          <w:lang w:eastAsia="de-DE"/>
        </w:rPr>
      </w:pPr>
      <w:r>
        <w:rPr>
          <w:lang w:eastAsia="de-DE"/>
        </w:rPr>
        <w:t>Meine Kritik:</w:t>
      </w:r>
    </w:p>
    <w:p w14:paraId="166108B8" w14:textId="77777777" w:rsidR="00425AC6" w:rsidRDefault="00E62E9C" w:rsidP="00681B08">
      <w:pPr>
        <w:pStyle w:val="Listenabsatz"/>
        <w:numPr>
          <w:ilvl w:val="0"/>
          <w:numId w:val="31"/>
        </w:numPr>
        <w:rPr>
          <w:lang w:eastAsia="de-DE"/>
        </w:rPr>
      </w:pPr>
      <w:r>
        <w:rPr>
          <w:lang w:eastAsia="de-DE"/>
        </w:rPr>
        <w:t>Ich teile nicht die sehr herbe Kritik am Reformprozess der EKD und prinzipiell am ökonom</w:t>
      </w:r>
      <w:r>
        <w:rPr>
          <w:lang w:eastAsia="de-DE"/>
        </w:rPr>
        <w:t>i</w:t>
      </w:r>
      <w:r>
        <w:rPr>
          <w:lang w:eastAsia="de-DE"/>
        </w:rPr>
        <w:t>schen De</w:t>
      </w:r>
      <w:r>
        <w:rPr>
          <w:lang w:eastAsia="de-DE"/>
        </w:rPr>
        <w:t>n</w:t>
      </w:r>
      <w:r>
        <w:rPr>
          <w:lang w:eastAsia="de-DE"/>
        </w:rPr>
        <w:t xml:space="preserve">ken als einem Aspekt, unter dem wir Kirche betrachten können. </w:t>
      </w:r>
    </w:p>
    <w:p w14:paraId="46ACA077" w14:textId="33C59F5F" w:rsidR="00681B08" w:rsidRDefault="00E62E9C" w:rsidP="00681B08">
      <w:pPr>
        <w:pStyle w:val="Listenabsatz"/>
        <w:numPr>
          <w:ilvl w:val="0"/>
          <w:numId w:val="31"/>
        </w:numPr>
        <w:rPr>
          <w:lang w:eastAsia="de-DE"/>
        </w:rPr>
      </w:pPr>
      <w:r>
        <w:rPr>
          <w:lang w:eastAsia="de-DE"/>
        </w:rPr>
        <w:t>Ich bin aber weit mehr noch davon überzeugt, dass Frau Karle die Situation der Ortsgemei</w:t>
      </w:r>
      <w:r>
        <w:rPr>
          <w:lang w:eastAsia="de-DE"/>
        </w:rPr>
        <w:t>n</w:t>
      </w:r>
      <w:r>
        <w:rPr>
          <w:lang w:eastAsia="de-DE"/>
        </w:rPr>
        <w:t>den überschätzt und die Schwierigkeiten der Ortsgemeinden, z.B. Milieugrenzen zu überwi</w:t>
      </w:r>
      <w:r>
        <w:rPr>
          <w:lang w:eastAsia="de-DE"/>
        </w:rPr>
        <w:t>n</w:t>
      </w:r>
      <w:r>
        <w:rPr>
          <w:lang w:eastAsia="de-DE"/>
        </w:rPr>
        <w:t xml:space="preserve">den, unterschätzt. </w:t>
      </w:r>
    </w:p>
    <w:p w14:paraId="74EA4C2E" w14:textId="22265633" w:rsidR="00E62E9C" w:rsidRPr="00425AC6" w:rsidRDefault="00E62E9C" w:rsidP="00681B08">
      <w:pPr>
        <w:pStyle w:val="Listenabsatz"/>
        <w:numPr>
          <w:ilvl w:val="0"/>
          <w:numId w:val="31"/>
        </w:numPr>
        <w:rPr>
          <w:lang w:eastAsia="de-DE"/>
        </w:rPr>
      </w:pPr>
      <w:r>
        <w:rPr>
          <w:lang w:eastAsia="de-DE"/>
        </w:rPr>
        <w:t>Insofern bin ich ihr recht nahe, wenn es um Grundaussagen geht, teile aber ihre Analyse der kirchl</w:t>
      </w:r>
      <w:r>
        <w:rPr>
          <w:lang w:eastAsia="de-DE"/>
        </w:rPr>
        <w:t>i</w:t>
      </w:r>
      <w:r>
        <w:rPr>
          <w:lang w:eastAsia="de-DE"/>
        </w:rPr>
        <w:t>chen Lage nicht</w:t>
      </w:r>
      <w:r w:rsidR="00681B08">
        <w:rPr>
          <w:lang w:eastAsia="de-DE"/>
        </w:rPr>
        <w:t xml:space="preserve"> </w:t>
      </w:r>
      <w:r>
        <w:rPr>
          <w:lang w:eastAsia="de-DE"/>
        </w:rPr>
        <w:t>und auch nicht ihre Identifikation von Versammlung der Gläubigen mit der parochialen Gemeindestru</w:t>
      </w:r>
      <w:r>
        <w:rPr>
          <w:lang w:eastAsia="de-DE"/>
        </w:rPr>
        <w:t>k</w:t>
      </w:r>
      <w:r>
        <w:rPr>
          <w:lang w:eastAsia="de-DE"/>
        </w:rPr>
        <w:t>tur.</w:t>
      </w:r>
    </w:p>
    <w:p w14:paraId="2C74BF04" w14:textId="77777777" w:rsidR="00425AC6" w:rsidRDefault="00425AC6" w:rsidP="00E62E9C">
      <w:pPr>
        <w:rPr>
          <w:lang w:eastAsia="de-DE"/>
        </w:rPr>
      </w:pPr>
    </w:p>
    <w:bookmarkStart w:id="23" w:name="_Toc214635405"/>
    <w:p w14:paraId="658F3FCE" w14:textId="2B619FAD" w:rsidR="00425AC6" w:rsidRPr="00425AC6" w:rsidRDefault="00425AC6" w:rsidP="00425AC6">
      <w:pPr>
        <w:pStyle w:val="berschrift2"/>
        <w:spacing w:before="0"/>
        <w:ind w:left="284" w:hanging="284"/>
      </w:pPr>
      <w:r w:rsidRPr="00425AC6">
        <w:rPr>
          <w:sz w:val="21"/>
          <w:szCs w:val="21"/>
        </w:rPr>
        <w:fldChar w:fldCharType="begin"/>
      </w:r>
      <w:r w:rsidRPr="00425AC6">
        <w:rPr>
          <w:sz w:val="21"/>
          <w:szCs w:val="21"/>
        </w:rPr>
        <w:instrText xml:space="preserve"> ADDIN EN.REFLIST </w:instrText>
      </w:r>
      <w:r w:rsidRPr="00425AC6">
        <w:rPr>
          <w:sz w:val="21"/>
          <w:szCs w:val="21"/>
        </w:rPr>
        <w:fldChar w:fldCharType="separate"/>
      </w:r>
      <w:bookmarkStart w:id="24" w:name="_Toc214635404"/>
      <w:r w:rsidRPr="00425AC6">
        <w:t>Literaturliste</w:t>
      </w:r>
      <w:bookmarkEnd w:id="24"/>
    </w:p>
    <w:p w14:paraId="438FB6F3" w14:textId="77777777" w:rsidR="00425AC6" w:rsidRPr="00425AC6" w:rsidRDefault="00425AC6" w:rsidP="00425AC6">
      <w:pPr>
        <w:spacing w:after="0"/>
        <w:ind w:left="284" w:hanging="284"/>
        <w:rPr>
          <w:rFonts w:asciiTheme="minorHAnsi" w:hAnsiTheme="minorHAnsi"/>
          <w:noProof/>
          <w:sz w:val="21"/>
          <w:szCs w:val="21"/>
        </w:rPr>
      </w:pPr>
      <w:bookmarkStart w:id="25" w:name="_ENREF_1"/>
      <w:r w:rsidRPr="00425AC6">
        <w:rPr>
          <w:rFonts w:asciiTheme="minorHAnsi" w:hAnsiTheme="minorHAnsi"/>
          <w:noProof/>
          <w:sz w:val="21"/>
          <w:szCs w:val="21"/>
        </w:rPr>
        <w:t xml:space="preserve">Bonhoeffer, Dietrich: </w:t>
      </w:r>
      <w:r w:rsidRPr="00425AC6">
        <w:rPr>
          <w:rFonts w:asciiTheme="minorHAnsi" w:hAnsiTheme="minorHAnsi"/>
          <w:i/>
          <w:noProof/>
          <w:sz w:val="21"/>
          <w:szCs w:val="21"/>
        </w:rPr>
        <w:t>Widerstand und Ergebung. Neuausgabe</w:t>
      </w:r>
      <w:r w:rsidRPr="00425AC6">
        <w:rPr>
          <w:rFonts w:asciiTheme="minorHAnsi" w:hAnsiTheme="minorHAnsi"/>
          <w:noProof/>
          <w:sz w:val="21"/>
          <w:szCs w:val="21"/>
        </w:rPr>
        <w:t xml:space="preserve">. München 1970 </w:t>
      </w:r>
      <w:bookmarkEnd w:id="25"/>
    </w:p>
    <w:p w14:paraId="7B6A5E71" w14:textId="77777777" w:rsidR="00425AC6" w:rsidRPr="00425AC6" w:rsidRDefault="00425AC6" w:rsidP="00425AC6">
      <w:pPr>
        <w:spacing w:after="0"/>
        <w:ind w:left="284" w:hanging="284"/>
        <w:rPr>
          <w:rFonts w:asciiTheme="minorHAnsi" w:hAnsiTheme="minorHAnsi"/>
          <w:noProof/>
          <w:sz w:val="21"/>
          <w:szCs w:val="21"/>
        </w:rPr>
      </w:pPr>
      <w:bookmarkStart w:id="26" w:name="_ENREF_2"/>
      <w:r w:rsidRPr="00425AC6">
        <w:rPr>
          <w:rFonts w:asciiTheme="minorHAnsi" w:hAnsiTheme="minorHAnsi"/>
          <w:noProof/>
          <w:sz w:val="21"/>
          <w:szCs w:val="21"/>
        </w:rPr>
        <w:t xml:space="preserve">Gräb, Wilhelm: </w:t>
      </w:r>
      <w:r w:rsidRPr="00425AC6">
        <w:rPr>
          <w:rFonts w:asciiTheme="minorHAnsi" w:hAnsiTheme="minorHAnsi"/>
          <w:i/>
          <w:noProof/>
          <w:sz w:val="21"/>
          <w:szCs w:val="21"/>
        </w:rPr>
        <w:t>Lebensgeschichten - Lebensentwürfe - Sinndeutungen. Eine praktische Theologie gelebter Religion</w:t>
      </w:r>
      <w:r w:rsidRPr="00425AC6">
        <w:rPr>
          <w:rFonts w:asciiTheme="minorHAnsi" w:hAnsiTheme="minorHAnsi"/>
          <w:noProof/>
          <w:sz w:val="21"/>
          <w:szCs w:val="21"/>
        </w:rPr>
        <w:t xml:space="preserve">. Gütersloh 1998 </w:t>
      </w:r>
      <w:bookmarkEnd w:id="26"/>
    </w:p>
    <w:p w14:paraId="3AB610E8" w14:textId="77777777" w:rsidR="00425AC6" w:rsidRPr="00425AC6" w:rsidRDefault="00425AC6" w:rsidP="00425AC6">
      <w:pPr>
        <w:spacing w:after="0"/>
        <w:ind w:left="284" w:hanging="284"/>
        <w:rPr>
          <w:rFonts w:asciiTheme="minorHAnsi" w:hAnsiTheme="minorHAnsi"/>
          <w:noProof/>
          <w:sz w:val="21"/>
          <w:szCs w:val="21"/>
        </w:rPr>
      </w:pPr>
      <w:bookmarkStart w:id="27" w:name="_ENREF_3"/>
      <w:r w:rsidRPr="00425AC6">
        <w:rPr>
          <w:rFonts w:asciiTheme="minorHAnsi" w:hAnsiTheme="minorHAnsi"/>
          <w:noProof/>
          <w:sz w:val="21"/>
          <w:szCs w:val="21"/>
        </w:rPr>
        <w:t xml:space="preserve">Heidbrink, Gregor:  </w:t>
      </w:r>
      <w:r w:rsidRPr="00425AC6">
        <w:rPr>
          <w:rFonts w:asciiTheme="minorHAnsi" w:hAnsiTheme="minorHAnsi"/>
          <w:i/>
          <w:noProof/>
          <w:sz w:val="21"/>
          <w:szCs w:val="21"/>
        </w:rPr>
        <w:t>Israel im Reformstress. 1 Sam 8 und die Kirche der Freiheit</w:t>
      </w:r>
      <w:r w:rsidRPr="00425AC6">
        <w:rPr>
          <w:rFonts w:asciiTheme="minorHAnsi" w:hAnsiTheme="minorHAnsi"/>
          <w:noProof/>
          <w:sz w:val="21"/>
          <w:szCs w:val="21"/>
        </w:rPr>
        <w:t>. Ichthys 28 (2012), 62-71</w:t>
      </w:r>
      <w:bookmarkEnd w:id="27"/>
    </w:p>
    <w:p w14:paraId="75B377DC" w14:textId="77777777" w:rsidR="00425AC6" w:rsidRPr="00425AC6" w:rsidRDefault="00425AC6" w:rsidP="00425AC6">
      <w:pPr>
        <w:spacing w:after="0"/>
        <w:ind w:left="284" w:hanging="284"/>
        <w:rPr>
          <w:rFonts w:asciiTheme="minorHAnsi" w:hAnsiTheme="minorHAnsi"/>
          <w:noProof/>
          <w:sz w:val="21"/>
          <w:szCs w:val="21"/>
        </w:rPr>
      </w:pPr>
      <w:bookmarkStart w:id="28" w:name="_ENREF_4"/>
      <w:r w:rsidRPr="00425AC6">
        <w:rPr>
          <w:rFonts w:asciiTheme="minorHAnsi" w:hAnsiTheme="minorHAnsi"/>
          <w:noProof/>
          <w:sz w:val="21"/>
          <w:szCs w:val="21"/>
        </w:rPr>
        <w:t xml:space="preserve">Herbst, Michael: </w:t>
      </w:r>
      <w:r w:rsidRPr="00425AC6">
        <w:rPr>
          <w:rFonts w:asciiTheme="minorHAnsi" w:hAnsiTheme="minorHAnsi"/>
          <w:i/>
          <w:noProof/>
          <w:sz w:val="21"/>
          <w:szCs w:val="21"/>
        </w:rPr>
        <w:t>Missionarischer Gemeindeaufbau in der Volkskirche</w:t>
      </w:r>
      <w:r w:rsidRPr="00425AC6">
        <w:rPr>
          <w:rFonts w:asciiTheme="minorHAnsi" w:hAnsiTheme="minorHAnsi"/>
          <w:noProof/>
          <w:sz w:val="21"/>
          <w:szCs w:val="21"/>
        </w:rPr>
        <w:t>. Neukirchen-Vluyn 5. deutlich erweiterte Aufl.2010 (BEG Bd. 8)</w:t>
      </w:r>
      <w:bookmarkEnd w:id="28"/>
    </w:p>
    <w:p w14:paraId="010A1C20" w14:textId="77777777" w:rsidR="00425AC6" w:rsidRPr="00425AC6" w:rsidRDefault="00425AC6" w:rsidP="00425AC6">
      <w:pPr>
        <w:spacing w:after="0"/>
        <w:ind w:left="284" w:hanging="284"/>
        <w:rPr>
          <w:rFonts w:asciiTheme="minorHAnsi" w:hAnsiTheme="minorHAnsi"/>
          <w:noProof/>
          <w:sz w:val="21"/>
          <w:szCs w:val="21"/>
        </w:rPr>
      </w:pPr>
      <w:bookmarkStart w:id="29" w:name="_ENREF_5"/>
      <w:r w:rsidRPr="00425AC6">
        <w:rPr>
          <w:rFonts w:asciiTheme="minorHAnsi" w:hAnsiTheme="minorHAnsi"/>
          <w:noProof/>
          <w:sz w:val="21"/>
          <w:szCs w:val="21"/>
        </w:rPr>
        <w:t xml:space="preserve">Hild, Helmut: </w:t>
      </w:r>
      <w:r w:rsidRPr="00425AC6">
        <w:rPr>
          <w:rFonts w:asciiTheme="minorHAnsi" w:hAnsiTheme="minorHAnsi"/>
          <w:i/>
          <w:noProof/>
          <w:sz w:val="21"/>
          <w:szCs w:val="21"/>
        </w:rPr>
        <w:t>Wie stabil ist die Kirche? Bestand und Erneuerung. Ergebnisse einer Umfrage</w:t>
      </w:r>
      <w:r w:rsidRPr="00425AC6">
        <w:rPr>
          <w:rFonts w:asciiTheme="minorHAnsi" w:hAnsiTheme="minorHAnsi"/>
          <w:noProof/>
          <w:sz w:val="21"/>
          <w:szCs w:val="21"/>
        </w:rPr>
        <w:t xml:space="preserve">. Gelnhausen und Berlin 1974 </w:t>
      </w:r>
      <w:bookmarkEnd w:id="29"/>
    </w:p>
    <w:p w14:paraId="7BE5ABFF" w14:textId="77777777" w:rsidR="00425AC6" w:rsidRPr="00F737A5" w:rsidRDefault="00425AC6" w:rsidP="00425AC6">
      <w:pPr>
        <w:spacing w:after="0"/>
        <w:ind w:left="284" w:hanging="284"/>
        <w:rPr>
          <w:rFonts w:asciiTheme="minorHAnsi" w:hAnsiTheme="minorHAnsi"/>
          <w:b/>
          <w:noProof/>
          <w:sz w:val="21"/>
          <w:szCs w:val="21"/>
        </w:rPr>
      </w:pPr>
      <w:bookmarkStart w:id="30" w:name="_ENREF_6"/>
      <w:r w:rsidRPr="00F737A5">
        <w:rPr>
          <w:rFonts w:asciiTheme="minorHAnsi" w:hAnsiTheme="minorHAnsi"/>
          <w:b/>
          <w:noProof/>
          <w:sz w:val="21"/>
          <w:szCs w:val="21"/>
        </w:rPr>
        <w:t xml:space="preserve">Karle, Isolde: </w:t>
      </w:r>
      <w:r w:rsidRPr="00F737A5">
        <w:rPr>
          <w:rFonts w:asciiTheme="minorHAnsi" w:hAnsiTheme="minorHAnsi"/>
          <w:b/>
          <w:i/>
          <w:noProof/>
          <w:sz w:val="21"/>
          <w:szCs w:val="21"/>
        </w:rPr>
        <w:t>Kirche im Reformstress</w:t>
      </w:r>
      <w:r w:rsidRPr="00F737A5">
        <w:rPr>
          <w:rFonts w:asciiTheme="minorHAnsi" w:hAnsiTheme="minorHAnsi"/>
          <w:b/>
          <w:noProof/>
          <w:sz w:val="21"/>
          <w:szCs w:val="21"/>
        </w:rPr>
        <w:t xml:space="preserve">. Gütersloh 2010 </w:t>
      </w:r>
      <w:bookmarkEnd w:id="30"/>
    </w:p>
    <w:p w14:paraId="35045491" w14:textId="77777777" w:rsidR="00425AC6" w:rsidRPr="00425AC6" w:rsidRDefault="00425AC6" w:rsidP="00425AC6">
      <w:pPr>
        <w:spacing w:after="0"/>
        <w:ind w:left="284" w:hanging="284"/>
        <w:rPr>
          <w:rFonts w:asciiTheme="minorHAnsi" w:hAnsiTheme="minorHAnsi"/>
          <w:noProof/>
          <w:sz w:val="21"/>
          <w:szCs w:val="21"/>
        </w:rPr>
      </w:pPr>
      <w:bookmarkStart w:id="31" w:name="_ENREF_7"/>
      <w:r w:rsidRPr="00F737A5">
        <w:rPr>
          <w:rFonts w:asciiTheme="minorHAnsi" w:hAnsiTheme="minorHAnsi"/>
          <w:b/>
          <w:noProof/>
          <w:sz w:val="21"/>
          <w:szCs w:val="21"/>
        </w:rPr>
        <w:t xml:space="preserve">Kretzschmar, Gerald: </w:t>
      </w:r>
      <w:r w:rsidRPr="00425AC6">
        <w:rPr>
          <w:rFonts w:asciiTheme="minorHAnsi" w:hAnsiTheme="minorHAnsi"/>
          <w:i/>
          <w:noProof/>
          <w:sz w:val="21"/>
          <w:szCs w:val="21"/>
        </w:rPr>
        <w:t>Kirchenbindung. Praktische Theologie der mediatisierten Kommunikation</w:t>
      </w:r>
      <w:r w:rsidRPr="00425AC6">
        <w:rPr>
          <w:rFonts w:asciiTheme="minorHAnsi" w:hAnsiTheme="minorHAnsi"/>
          <w:noProof/>
          <w:sz w:val="21"/>
          <w:szCs w:val="21"/>
        </w:rPr>
        <w:t xml:space="preserve">. Göttingen 2007 </w:t>
      </w:r>
      <w:bookmarkEnd w:id="31"/>
    </w:p>
    <w:p w14:paraId="022D1885" w14:textId="77777777" w:rsidR="00425AC6" w:rsidRPr="00F737A5" w:rsidRDefault="00425AC6" w:rsidP="00425AC6">
      <w:pPr>
        <w:spacing w:after="0"/>
        <w:ind w:left="284" w:hanging="284"/>
        <w:rPr>
          <w:rFonts w:asciiTheme="minorHAnsi" w:hAnsiTheme="minorHAnsi"/>
          <w:b/>
          <w:noProof/>
          <w:sz w:val="21"/>
          <w:szCs w:val="21"/>
        </w:rPr>
      </w:pPr>
      <w:bookmarkStart w:id="32" w:name="_ENREF_8"/>
      <w:r w:rsidRPr="00F737A5">
        <w:rPr>
          <w:rFonts w:asciiTheme="minorHAnsi" w:hAnsiTheme="minorHAnsi"/>
          <w:b/>
          <w:noProof/>
          <w:sz w:val="21"/>
          <w:szCs w:val="21"/>
        </w:rPr>
        <w:t xml:space="preserve">---:  </w:t>
      </w:r>
      <w:r w:rsidRPr="00F737A5">
        <w:rPr>
          <w:rFonts w:asciiTheme="minorHAnsi" w:hAnsiTheme="minorHAnsi"/>
          <w:b/>
          <w:i/>
          <w:noProof/>
          <w:sz w:val="21"/>
          <w:szCs w:val="21"/>
        </w:rPr>
        <w:t>Mitgliederorientierung und Kirchenreform. Die Empirie der Kirchenbindung als Orientierungsgröße für kirchliche Strukturreform</w:t>
      </w:r>
      <w:r w:rsidRPr="00F737A5">
        <w:rPr>
          <w:rFonts w:asciiTheme="minorHAnsi" w:hAnsiTheme="minorHAnsi"/>
          <w:b/>
          <w:noProof/>
          <w:sz w:val="21"/>
          <w:szCs w:val="21"/>
        </w:rPr>
        <w:t>. PTh 101 (2012), 152-168</w:t>
      </w:r>
      <w:bookmarkEnd w:id="32"/>
    </w:p>
    <w:p w14:paraId="171251A1" w14:textId="77777777" w:rsidR="00425AC6" w:rsidRPr="00425AC6" w:rsidRDefault="00425AC6" w:rsidP="00425AC6">
      <w:pPr>
        <w:spacing w:after="0"/>
        <w:ind w:left="284" w:hanging="284"/>
        <w:rPr>
          <w:rFonts w:asciiTheme="minorHAnsi" w:hAnsiTheme="minorHAnsi"/>
          <w:noProof/>
          <w:sz w:val="21"/>
          <w:szCs w:val="21"/>
        </w:rPr>
      </w:pPr>
      <w:bookmarkStart w:id="33" w:name="_ENREF_9"/>
      <w:r w:rsidRPr="00425AC6">
        <w:rPr>
          <w:rFonts w:asciiTheme="minorHAnsi" w:hAnsiTheme="minorHAnsi"/>
          <w:noProof/>
          <w:sz w:val="21"/>
          <w:szCs w:val="21"/>
        </w:rPr>
        <w:t xml:space="preserve">Möller, Christian: </w:t>
      </w:r>
      <w:r w:rsidRPr="00425AC6">
        <w:rPr>
          <w:rFonts w:asciiTheme="minorHAnsi" w:hAnsiTheme="minorHAnsi"/>
          <w:i/>
          <w:noProof/>
          <w:sz w:val="21"/>
          <w:szCs w:val="21"/>
        </w:rPr>
        <w:t>Lehre vom Gemeindeaufbau</w:t>
      </w:r>
      <w:r w:rsidRPr="00425AC6">
        <w:rPr>
          <w:rFonts w:asciiTheme="minorHAnsi" w:hAnsiTheme="minorHAnsi"/>
          <w:noProof/>
          <w:sz w:val="21"/>
          <w:szCs w:val="21"/>
        </w:rPr>
        <w:t xml:space="preserve">. Göttingen 3. Aufl. 1991 </w:t>
      </w:r>
      <w:bookmarkEnd w:id="33"/>
    </w:p>
    <w:p w14:paraId="34D24085" w14:textId="77777777" w:rsidR="00425AC6" w:rsidRPr="00425AC6" w:rsidRDefault="00425AC6" w:rsidP="00425AC6">
      <w:pPr>
        <w:spacing w:after="0"/>
        <w:ind w:left="284" w:hanging="284"/>
        <w:rPr>
          <w:rFonts w:asciiTheme="minorHAnsi" w:hAnsiTheme="minorHAnsi"/>
          <w:noProof/>
          <w:sz w:val="21"/>
          <w:szCs w:val="21"/>
        </w:rPr>
      </w:pPr>
      <w:bookmarkStart w:id="34" w:name="_ENREF_10"/>
      <w:r w:rsidRPr="00F737A5">
        <w:rPr>
          <w:rFonts w:asciiTheme="minorHAnsi" w:hAnsiTheme="minorHAnsi"/>
          <w:b/>
          <w:noProof/>
          <w:sz w:val="21"/>
          <w:szCs w:val="21"/>
        </w:rPr>
        <w:t xml:space="preserve">Pohl-Patalong, Uta: </w:t>
      </w:r>
      <w:r w:rsidRPr="00425AC6">
        <w:rPr>
          <w:rFonts w:asciiTheme="minorHAnsi" w:hAnsiTheme="minorHAnsi"/>
          <w:i/>
          <w:noProof/>
          <w:sz w:val="21"/>
          <w:szCs w:val="21"/>
        </w:rPr>
        <w:t>Ortsgemeinde und übergemeindliche Arbeit im Konflikt. Eine Analyse der Argumentationen und ein alternatives Modell</w:t>
      </w:r>
      <w:r w:rsidRPr="00425AC6">
        <w:rPr>
          <w:rFonts w:asciiTheme="minorHAnsi" w:hAnsiTheme="minorHAnsi"/>
          <w:noProof/>
          <w:sz w:val="21"/>
          <w:szCs w:val="21"/>
        </w:rPr>
        <w:t xml:space="preserve">. Göttingen 2003a </w:t>
      </w:r>
      <w:bookmarkEnd w:id="34"/>
    </w:p>
    <w:p w14:paraId="0101ED2F" w14:textId="77777777" w:rsidR="00425AC6" w:rsidRPr="00425AC6" w:rsidRDefault="00425AC6" w:rsidP="00425AC6">
      <w:pPr>
        <w:spacing w:after="0"/>
        <w:ind w:left="284" w:hanging="284"/>
        <w:rPr>
          <w:rFonts w:asciiTheme="minorHAnsi" w:hAnsiTheme="minorHAnsi"/>
          <w:noProof/>
          <w:sz w:val="21"/>
          <w:szCs w:val="21"/>
        </w:rPr>
      </w:pPr>
      <w:bookmarkStart w:id="35" w:name="_ENREF_11"/>
      <w:r w:rsidRPr="00425AC6">
        <w:rPr>
          <w:rFonts w:asciiTheme="minorHAnsi" w:hAnsiTheme="minorHAnsi"/>
          <w:noProof/>
          <w:sz w:val="21"/>
          <w:szCs w:val="21"/>
        </w:rPr>
        <w:t xml:space="preserve">---:  </w:t>
      </w:r>
      <w:r w:rsidRPr="00425AC6">
        <w:rPr>
          <w:rFonts w:asciiTheme="minorHAnsi" w:hAnsiTheme="minorHAnsi"/>
          <w:i/>
          <w:noProof/>
          <w:sz w:val="21"/>
          <w:szCs w:val="21"/>
        </w:rPr>
        <w:t>Regionalisierung - das Modell der Zukunft? Plädoyer für eine ebenso grundlegende wie kreative Debatte</w:t>
      </w:r>
      <w:r w:rsidRPr="00425AC6">
        <w:rPr>
          <w:rFonts w:asciiTheme="minorHAnsi" w:hAnsiTheme="minorHAnsi"/>
          <w:noProof/>
          <w:sz w:val="21"/>
          <w:szCs w:val="21"/>
        </w:rPr>
        <w:t>. PTh 92 (2003b), 66-80</w:t>
      </w:r>
      <w:bookmarkEnd w:id="35"/>
    </w:p>
    <w:p w14:paraId="41F4E6C3" w14:textId="77777777" w:rsidR="00425AC6" w:rsidRPr="00F737A5" w:rsidRDefault="00425AC6" w:rsidP="00425AC6">
      <w:pPr>
        <w:spacing w:after="0"/>
        <w:ind w:left="284" w:hanging="284"/>
        <w:rPr>
          <w:rFonts w:asciiTheme="minorHAnsi" w:hAnsiTheme="minorHAnsi"/>
          <w:b/>
          <w:noProof/>
          <w:sz w:val="21"/>
          <w:szCs w:val="21"/>
        </w:rPr>
      </w:pPr>
      <w:bookmarkStart w:id="36" w:name="_ENREF_12"/>
      <w:r w:rsidRPr="00F737A5">
        <w:rPr>
          <w:rFonts w:asciiTheme="minorHAnsi" w:hAnsiTheme="minorHAnsi"/>
          <w:b/>
          <w:noProof/>
          <w:sz w:val="21"/>
          <w:szCs w:val="21"/>
        </w:rPr>
        <w:t xml:space="preserve">---: </w:t>
      </w:r>
      <w:r w:rsidRPr="00F737A5">
        <w:rPr>
          <w:rFonts w:asciiTheme="minorHAnsi" w:hAnsiTheme="minorHAnsi"/>
          <w:b/>
          <w:i/>
          <w:noProof/>
          <w:sz w:val="21"/>
          <w:szCs w:val="21"/>
        </w:rPr>
        <w:t>Von der Ortskirche zu kirchlichen Orten. Ein Zukunftsmodell</w:t>
      </w:r>
      <w:r w:rsidRPr="00F737A5">
        <w:rPr>
          <w:rFonts w:asciiTheme="minorHAnsi" w:hAnsiTheme="minorHAnsi"/>
          <w:b/>
          <w:noProof/>
          <w:sz w:val="21"/>
          <w:szCs w:val="21"/>
        </w:rPr>
        <w:t xml:space="preserve">. Göttingen 2004 </w:t>
      </w:r>
      <w:bookmarkEnd w:id="36"/>
    </w:p>
    <w:p w14:paraId="6B4593A4" w14:textId="77777777" w:rsidR="00425AC6" w:rsidRPr="00425AC6" w:rsidRDefault="00425AC6" w:rsidP="00425AC6">
      <w:pPr>
        <w:spacing w:after="0"/>
        <w:ind w:left="284" w:hanging="284"/>
        <w:rPr>
          <w:rFonts w:asciiTheme="minorHAnsi" w:hAnsiTheme="minorHAnsi"/>
          <w:noProof/>
          <w:sz w:val="21"/>
          <w:szCs w:val="21"/>
        </w:rPr>
      </w:pPr>
      <w:bookmarkStart w:id="37" w:name="_ENREF_13"/>
      <w:r w:rsidRPr="00425AC6">
        <w:rPr>
          <w:rFonts w:asciiTheme="minorHAnsi" w:hAnsiTheme="minorHAnsi"/>
          <w:noProof/>
          <w:sz w:val="21"/>
          <w:szCs w:val="21"/>
        </w:rPr>
        <w:t xml:space="preserve">---: </w:t>
      </w:r>
      <w:r w:rsidRPr="00425AC6">
        <w:rPr>
          <w:rFonts w:asciiTheme="minorHAnsi" w:hAnsiTheme="minorHAnsi"/>
          <w:i/>
          <w:noProof/>
          <w:sz w:val="21"/>
          <w:szCs w:val="21"/>
        </w:rPr>
        <w:t>Regionalisierung als Zukunftsmodell? Implikationen und Alternativen einer Debatte</w:t>
      </w:r>
      <w:r w:rsidRPr="00425AC6">
        <w:rPr>
          <w:rFonts w:asciiTheme="minorHAnsi" w:hAnsiTheme="minorHAnsi"/>
          <w:noProof/>
          <w:sz w:val="21"/>
          <w:szCs w:val="21"/>
        </w:rPr>
        <w:t xml:space="preserve">. In: Stefan Bölts und Wolfgang Nethöfel (Hg.): </w:t>
      </w:r>
      <w:r w:rsidRPr="00425AC6">
        <w:rPr>
          <w:rFonts w:asciiTheme="minorHAnsi" w:hAnsiTheme="minorHAnsi"/>
          <w:i/>
          <w:noProof/>
          <w:sz w:val="21"/>
          <w:szCs w:val="21"/>
        </w:rPr>
        <w:t xml:space="preserve">Aufbruch in die Region. Kirchenreform zwischen Zwangsfusion und profilierter Nachbarschaft. </w:t>
      </w:r>
      <w:r w:rsidRPr="00425AC6">
        <w:rPr>
          <w:rFonts w:asciiTheme="minorHAnsi" w:hAnsiTheme="minorHAnsi"/>
          <w:noProof/>
          <w:sz w:val="21"/>
          <w:szCs w:val="21"/>
        </w:rPr>
        <w:t xml:space="preserve">Hamburg 2008, 91-107 </w:t>
      </w:r>
      <w:bookmarkEnd w:id="37"/>
    </w:p>
    <w:p w14:paraId="673DE6D9" w14:textId="77777777" w:rsidR="00425AC6" w:rsidRPr="00425AC6" w:rsidRDefault="00425AC6" w:rsidP="00425AC6">
      <w:pPr>
        <w:spacing w:after="0"/>
        <w:ind w:left="284" w:hanging="284"/>
        <w:rPr>
          <w:rFonts w:asciiTheme="minorHAnsi" w:hAnsiTheme="minorHAnsi"/>
          <w:noProof/>
          <w:sz w:val="21"/>
          <w:szCs w:val="21"/>
        </w:rPr>
      </w:pPr>
      <w:bookmarkStart w:id="38" w:name="_ENREF_14"/>
      <w:r w:rsidRPr="00425AC6">
        <w:rPr>
          <w:rFonts w:asciiTheme="minorHAnsi" w:hAnsiTheme="minorHAnsi"/>
          <w:noProof/>
          <w:sz w:val="21"/>
          <w:szCs w:val="21"/>
        </w:rPr>
        <w:t xml:space="preserve">Roosen, Rudolf: </w:t>
      </w:r>
      <w:r w:rsidRPr="00425AC6">
        <w:rPr>
          <w:rFonts w:asciiTheme="minorHAnsi" w:hAnsiTheme="minorHAnsi"/>
          <w:i/>
          <w:noProof/>
          <w:sz w:val="21"/>
          <w:szCs w:val="21"/>
        </w:rPr>
        <w:t>Die Kirchengemeinde. Sozialsystem im Wandel</w:t>
      </w:r>
      <w:r w:rsidRPr="00425AC6">
        <w:rPr>
          <w:rFonts w:asciiTheme="minorHAnsi" w:hAnsiTheme="minorHAnsi"/>
          <w:noProof/>
          <w:sz w:val="21"/>
          <w:szCs w:val="21"/>
        </w:rPr>
        <w:t xml:space="preserve">. Berlin 1997 </w:t>
      </w:r>
      <w:bookmarkEnd w:id="38"/>
    </w:p>
    <w:p w14:paraId="4CCDFECE" w14:textId="77777777" w:rsidR="00425AC6" w:rsidRPr="00425AC6" w:rsidRDefault="00425AC6" w:rsidP="00425AC6">
      <w:pPr>
        <w:spacing w:after="0"/>
        <w:ind w:left="284" w:hanging="284"/>
        <w:rPr>
          <w:rFonts w:asciiTheme="minorHAnsi" w:hAnsiTheme="minorHAnsi"/>
          <w:noProof/>
          <w:sz w:val="21"/>
          <w:szCs w:val="21"/>
        </w:rPr>
      </w:pPr>
      <w:bookmarkStart w:id="39" w:name="_ENREF_15"/>
      <w:r w:rsidRPr="00425AC6">
        <w:rPr>
          <w:rFonts w:asciiTheme="minorHAnsi" w:hAnsiTheme="minorHAnsi"/>
          <w:noProof/>
          <w:sz w:val="21"/>
          <w:szCs w:val="21"/>
        </w:rPr>
        <w:t xml:space="preserve">Sander, Uwe: </w:t>
      </w:r>
      <w:r w:rsidRPr="00425AC6">
        <w:rPr>
          <w:rFonts w:asciiTheme="minorHAnsi" w:hAnsiTheme="minorHAnsi"/>
          <w:i/>
          <w:noProof/>
          <w:sz w:val="21"/>
          <w:szCs w:val="21"/>
        </w:rPr>
        <w:t>Die Bindung der Unverbindlichkeit. Meditatisierte Kommunikation in der modernen Gesellschaft</w:t>
      </w:r>
      <w:r w:rsidRPr="00425AC6">
        <w:rPr>
          <w:rFonts w:asciiTheme="minorHAnsi" w:hAnsiTheme="minorHAnsi"/>
          <w:noProof/>
          <w:sz w:val="21"/>
          <w:szCs w:val="21"/>
        </w:rPr>
        <w:t xml:space="preserve">. Frankfurt/M. 1998 </w:t>
      </w:r>
      <w:bookmarkEnd w:id="39"/>
    </w:p>
    <w:p w14:paraId="15B4F4DD" w14:textId="77777777" w:rsidR="00425AC6" w:rsidRPr="00425AC6" w:rsidRDefault="00425AC6" w:rsidP="00425AC6">
      <w:pPr>
        <w:spacing w:after="0"/>
        <w:ind w:left="284" w:hanging="284"/>
        <w:rPr>
          <w:rFonts w:asciiTheme="minorHAnsi" w:hAnsiTheme="minorHAnsi"/>
          <w:noProof/>
          <w:sz w:val="21"/>
          <w:szCs w:val="21"/>
        </w:rPr>
      </w:pPr>
      <w:bookmarkStart w:id="40" w:name="_ENREF_16"/>
      <w:r w:rsidRPr="00425AC6">
        <w:rPr>
          <w:rFonts w:asciiTheme="minorHAnsi" w:hAnsiTheme="minorHAnsi"/>
          <w:noProof/>
          <w:sz w:val="21"/>
          <w:szCs w:val="21"/>
        </w:rPr>
        <w:t xml:space="preserve">Schoell, Jacob: </w:t>
      </w:r>
      <w:r w:rsidRPr="00425AC6">
        <w:rPr>
          <w:rFonts w:asciiTheme="minorHAnsi" w:hAnsiTheme="minorHAnsi"/>
          <w:i/>
          <w:noProof/>
          <w:sz w:val="21"/>
          <w:szCs w:val="21"/>
        </w:rPr>
        <w:t>Evangelische Gemeindepflege</w:t>
      </w:r>
      <w:r w:rsidRPr="00425AC6">
        <w:rPr>
          <w:rFonts w:asciiTheme="minorHAnsi" w:hAnsiTheme="minorHAnsi"/>
          <w:noProof/>
          <w:sz w:val="21"/>
          <w:szCs w:val="21"/>
        </w:rPr>
        <w:t xml:space="preserve">. Heilbronn 1911 </w:t>
      </w:r>
      <w:bookmarkEnd w:id="40"/>
    </w:p>
    <w:p w14:paraId="5A227576" w14:textId="7E37526A" w:rsidR="00425AC6" w:rsidRPr="00425AC6" w:rsidRDefault="00425AC6" w:rsidP="00425AC6">
      <w:pPr>
        <w:spacing w:after="0"/>
        <w:ind w:left="284" w:hanging="284"/>
        <w:rPr>
          <w:b/>
          <w:noProof/>
          <w:sz w:val="21"/>
          <w:szCs w:val="21"/>
        </w:rPr>
      </w:pPr>
      <w:bookmarkStart w:id="41" w:name="_ENREF_17"/>
      <w:r w:rsidRPr="00425AC6">
        <w:rPr>
          <w:rFonts w:asciiTheme="minorHAnsi" w:hAnsiTheme="minorHAnsi"/>
          <w:b/>
          <w:noProof/>
          <w:sz w:val="21"/>
          <w:szCs w:val="21"/>
        </w:rPr>
        <w:t xml:space="preserve">Zimmermann, Johannes: </w:t>
      </w:r>
      <w:r w:rsidRPr="00425AC6">
        <w:rPr>
          <w:rFonts w:asciiTheme="minorHAnsi" w:hAnsiTheme="minorHAnsi"/>
          <w:b/>
          <w:i/>
          <w:noProof/>
          <w:sz w:val="21"/>
          <w:szCs w:val="21"/>
        </w:rPr>
        <w:t>Gemeinde zwischen Individualität und Sozialität. Herausforderungen für den Gemeindeaufbau im gesellschaftlichen Wandel</w:t>
      </w:r>
      <w:r w:rsidRPr="00425AC6">
        <w:rPr>
          <w:rFonts w:asciiTheme="minorHAnsi" w:hAnsiTheme="minorHAnsi"/>
          <w:b/>
          <w:noProof/>
          <w:sz w:val="21"/>
          <w:szCs w:val="21"/>
        </w:rPr>
        <w:t>. Neukirchen-Vluyn 2. Aufl. 2009 (BEG Bd. 3)</w:t>
      </w:r>
      <w:bookmarkEnd w:id="41"/>
      <w:r w:rsidRPr="00425AC6">
        <w:rPr>
          <w:rFonts w:asciiTheme="minorHAnsi" w:hAnsiTheme="minorHAnsi"/>
          <w:b/>
          <w:noProof/>
          <w:sz w:val="21"/>
          <w:szCs w:val="21"/>
        </w:rPr>
        <w:t xml:space="preserve"> [vgl. besonders S. 203-222]</w:t>
      </w:r>
    </w:p>
    <w:p w14:paraId="7EC484ED" w14:textId="77010C07" w:rsidR="00425AC6" w:rsidRDefault="00425AC6" w:rsidP="00425AC6">
      <w:pPr>
        <w:pStyle w:val="berschrift2"/>
        <w:spacing w:before="0" w:line="21" w:lineRule="atLeast"/>
        <w:ind w:left="284" w:hanging="284"/>
      </w:pPr>
      <w:r w:rsidRPr="00425AC6">
        <w:rPr>
          <w:sz w:val="21"/>
          <w:szCs w:val="21"/>
        </w:rPr>
        <w:fldChar w:fldCharType="end"/>
      </w:r>
    </w:p>
    <w:p w14:paraId="1118C040" w14:textId="77777777" w:rsidR="00E62E9C" w:rsidRDefault="00E62E9C" w:rsidP="00E62E9C">
      <w:pPr>
        <w:pStyle w:val="berschrift2"/>
        <w:spacing w:before="0" w:line="21" w:lineRule="atLeast"/>
      </w:pPr>
      <w:r>
        <w:t>Anhang: 12 Thesen zur Kirchenreform von Isolde Karle</w:t>
      </w:r>
      <w:r>
        <w:rPr>
          <w:rStyle w:val="Funotenzeichen"/>
        </w:rPr>
        <w:footnoteReference w:id="22"/>
      </w:r>
      <w:bookmarkEnd w:id="23"/>
    </w:p>
    <w:p w14:paraId="7D93FF55"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1. Die evangelische Kirche ist von unten, von den Gemeinden her aufgebaut. Sie hat eine föderale Struktur und wird synodal-demokratisch geleitet. Als Kirche der Freiheit und Kirche der Vielfalt ist ihr eine hiera</w:t>
      </w:r>
      <w:r w:rsidRPr="00F737A5">
        <w:rPr>
          <w:rFonts w:asciiTheme="minorHAnsi" w:hAnsiTheme="minorHAnsi"/>
          <w:sz w:val="20"/>
          <w:szCs w:val="20"/>
          <w:lang w:eastAsia="de-DE"/>
        </w:rPr>
        <w:t>r</w:t>
      </w:r>
      <w:r w:rsidRPr="00F737A5">
        <w:rPr>
          <w:rFonts w:asciiTheme="minorHAnsi" w:hAnsiTheme="minorHAnsi"/>
          <w:sz w:val="20"/>
          <w:szCs w:val="20"/>
          <w:lang w:eastAsia="de-DE"/>
        </w:rPr>
        <w:t>chische, einheitliche, autoritäre Struktur fremd. Prinzipiell haben alle Christen teil am Lehr- und Leitung</w:t>
      </w:r>
      <w:r w:rsidRPr="00F737A5">
        <w:rPr>
          <w:rFonts w:asciiTheme="minorHAnsi" w:hAnsiTheme="minorHAnsi"/>
          <w:sz w:val="20"/>
          <w:szCs w:val="20"/>
          <w:lang w:eastAsia="de-DE"/>
        </w:rPr>
        <w:t>s</w:t>
      </w:r>
      <w:r w:rsidRPr="00F737A5">
        <w:rPr>
          <w:rFonts w:asciiTheme="minorHAnsi" w:hAnsiTheme="minorHAnsi"/>
          <w:sz w:val="20"/>
          <w:szCs w:val="20"/>
          <w:lang w:eastAsia="de-DE"/>
        </w:rPr>
        <w:t>amt der Kirche. Tendenzen innerhalb der EKD und mancher Kirchenleitungen, die Kirche von oben her, top down, zu steuern, widersprechen dem Wesen des Protestantismus. Evangelische Kirchenleitung ist herausgefordert von oben von unten her zu denken. Reformvorschläge der Kirchenleitung müssen de</w:t>
      </w:r>
      <w:r w:rsidRPr="00F737A5">
        <w:rPr>
          <w:rFonts w:asciiTheme="minorHAnsi" w:hAnsiTheme="minorHAnsi"/>
          <w:sz w:val="20"/>
          <w:szCs w:val="20"/>
          <w:lang w:eastAsia="de-DE"/>
        </w:rPr>
        <w:t>s</w:t>
      </w:r>
      <w:r w:rsidRPr="00F737A5">
        <w:rPr>
          <w:rFonts w:asciiTheme="minorHAnsi" w:hAnsiTheme="minorHAnsi"/>
          <w:sz w:val="20"/>
          <w:szCs w:val="20"/>
          <w:lang w:eastAsia="de-DE"/>
        </w:rPr>
        <w:t>halb dem offenen Diskurs ausgesetzt werden und können nur gelingen, wenn sie von einer breiten Basis unterstützt, mitgetragen und befürwortet werden.</w:t>
      </w:r>
    </w:p>
    <w:p w14:paraId="31B766E7"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2. Die evangelische Kirche wächst aus den Gemeinden, den lokalen Zusammenschlüssen von Christinnen und Christen. Kleinere Einheiten kommen im Gegensatz zu größeren Einheiten mit wenig bürokratischer Kontrolle aus, weil die persönliche Bekanntschaft und der überschaubare Rahmen eine starke Vertra</w:t>
      </w:r>
      <w:r w:rsidRPr="00F737A5">
        <w:rPr>
          <w:rFonts w:asciiTheme="minorHAnsi" w:hAnsiTheme="minorHAnsi"/>
          <w:sz w:val="20"/>
          <w:szCs w:val="20"/>
          <w:lang w:eastAsia="de-DE"/>
        </w:rPr>
        <w:t>u</w:t>
      </w:r>
      <w:r w:rsidRPr="00F737A5">
        <w:rPr>
          <w:rFonts w:asciiTheme="minorHAnsi" w:hAnsiTheme="minorHAnsi"/>
          <w:sz w:val="20"/>
          <w:szCs w:val="20"/>
          <w:lang w:eastAsia="de-DE"/>
        </w:rPr>
        <w:t>ensbasis schaffen. Die Vertrautheit von Orten und Personen hat eine kaum zu überschätzende Funktion für die Vermittlung el</w:t>
      </w:r>
      <w:r w:rsidRPr="00F737A5">
        <w:rPr>
          <w:rFonts w:asciiTheme="minorHAnsi" w:hAnsiTheme="minorHAnsi"/>
          <w:sz w:val="20"/>
          <w:szCs w:val="20"/>
          <w:lang w:eastAsia="de-DE"/>
        </w:rPr>
        <w:t>e</w:t>
      </w:r>
      <w:r w:rsidRPr="00F737A5">
        <w:rPr>
          <w:rFonts w:asciiTheme="minorHAnsi" w:hAnsiTheme="minorHAnsi"/>
          <w:sz w:val="20"/>
          <w:szCs w:val="20"/>
          <w:lang w:eastAsia="de-DE"/>
        </w:rPr>
        <w:t>mentarer Grundsicherheit. Die Bedeutung solcher Grundsicherheit nimmt mit der Anonymität und Mobilität der Gesellschaft eher zu statt ab.</w:t>
      </w:r>
    </w:p>
    <w:p w14:paraId="63F36BAE"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3. Für die Kirchlichkeit des Protestantismus ist Gemeindereligiosität unverzichtbar. In den Gemeinden ringen nicht nur theologische Experten, sondern Menschen aus unterschiedlichsten Berufsgruppen und Milieus d</w:t>
      </w:r>
      <w:r w:rsidRPr="00F737A5">
        <w:rPr>
          <w:rFonts w:asciiTheme="minorHAnsi" w:hAnsiTheme="minorHAnsi"/>
          <w:sz w:val="20"/>
          <w:szCs w:val="20"/>
          <w:lang w:eastAsia="de-DE"/>
        </w:rPr>
        <w:t>a</w:t>
      </w:r>
      <w:r w:rsidRPr="00F737A5">
        <w:rPr>
          <w:rFonts w:asciiTheme="minorHAnsi" w:hAnsiTheme="minorHAnsi"/>
          <w:sz w:val="20"/>
          <w:szCs w:val="20"/>
          <w:lang w:eastAsia="de-DE"/>
        </w:rPr>
        <w:t>rum, wie Kirche gestaltet werden soll. Hier gewinnt Kirche Kontur und Anschaulichkeit. Hier werden lebensla</w:t>
      </w:r>
      <w:r w:rsidRPr="00F737A5">
        <w:rPr>
          <w:rFonts w:asciiTheme="minorHAnsi" w:hAnsiTheme="minorHAnsi"/>
          <w:sz w:val="20"/>
          <w:szCs w:val="20"/>
          <w:lang w:eastAsia="de-DE"/>
        </w:rPr>
        <w:t>n</w:t>
      </w:r>
      <w:r w:rsidRPr="00F737A5">
        <w:rPr>
          <w:rFonts w:asciiTheme="minorHAnsi" w:hAnsiTheme="minorHAnsi"/>
          <w:sz w:val="20"/>
          <w:szCs w:val="20"/>
          <w:lang w:eastAsia="de-DE"/>
        </w:rPr>
        <w:t>ge Loyalitäten und Bindungen geschaffen, die für die Stabilisierung der Kirchenmitgliedschaft und die Berei</w:t>
      </w:r>
      <w:r w:rsidRPr="00F737A5">
        <w:rPr>
          <w:rFonts w:asciiTheme="minorHAnsi" w:hAnsiTheme="minorHAnsi"/>
          <w:sz w:val="20"/>
          <w:szCs w:val="20"/>
          <w:lang w:eastAsia="de-DE"/>
        </w:rPr>
        <w:t>t</w:t>
      </w:r>
      <w:r w:rsidRPr="00F737A5">
        <w:rPr>
          <w:rFonts w:asciiTheme="minorHAnsi" w:hAnsiTheme="minorHAnsi"/>
          <w:sz w:val="20"/>
          <w:szCs w:val="20"/>
          <w:lang w:eastAsia="de-DE"/>
        </w:rPr>
        <w:t>schaft, die Kirche finanziell zu tragen und zu unterstützen, essentiell sind.</w:t>
      </w:r>
    </w:p>
    <w:p w14:paraId="0C76E228"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4. Der Pfarrberuf ist Schlüsselberuf für die evangelische Kirche. Eine Pastorin kann die enorme Vielfalt und Komplexität ihrer Aufgaben nur dann bewältigen, wenn sie das Vertrauen der Menschen genießt und weitg</w:t>
      </w:r>
      <w:r w:rsidRPr="00F737A5">
        <w:rPr>
          <w:rFonts w:asciiTheme="minorHAnsi" w:hAnsiTheme="minorHAnsi"/>
          <w:sz w:val="20"/>
          <w:szCs w:val="20"/>
          <w:lang w:eastAsia="de-DE"/>
        </w:rPr>
        <w:t>e</w:t>
      </w:r>
      <w:r w:rsidRPr="00F737A5">
        <w:rPr>
          <w:rFonts w:asciiTheme="minorHAnsi" w:hAnsiTheme="minorHAnsi"/>
          <w:sz w:val="20"/>
          <w:szCs w:val="20"/>
          <w:lang w:eastAsia="de-DE"/>
        </w:rPr>
        <w:t>hend autonom entscheiden kann, ob, wann und wie gehandelt werden soll. Neben den überprüfbaren theol</w:t>
      </w:r>
      <w:r w:rsidRPr="00F737A5">
        <w:rPr>
          <w:rFonts w:asciiTheme="minorHAnsi" w:hAnsiTheme="minorHAnsi"/>
          <w:sz w:val="20"/>
          <w:szCs w:val="20"/>
          <w:lang w:eastAsia="de-DE"/>
        </w:rPr>
        <w:t>o</w:t>
      </w:r>
      <w:r w:rsidRPr="00F737A5">
        <w:rPr>
          <w:rFonts w:asciiTheme="minorHAnsi" w:hAnsiTheme="minorHAnsi"/>
          <w:sz w:val="20"/>
          <w:szCs w:val="20"/>
          <w:lang w:eastAsia="de-DE"/>
        </w:rPr>
        <w:t>gischen Kompetenzen eines Pastors sind deshalb Glaubwürdigkeit, Charisma, Intuition und die Bereitschaft, Verantwortung zu übernehmen, entscheidend für den Pfarrberuf als Profession.</w:t>
      </w:r>
    </w:p>
    <w:p w14:paraId="47CEDA3E"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5. Die Kirche ist auf intrinsisch motivierte Pastorinnen/Pastoren und Mitarbeiterinnen/Mitarbeiter ang</w:t>
      </w:r>
      <w:r w:rsidRPr="00F737A5">
        <w:rPr>
          <w:rFonts w:asciiTheme="minorHAnsi" w:hAnsiTheme="minorHAnsi"/>
          <w:sz w:val="20"/>
          <w:szCs w:val="20"/>
          <w:lang w:eastAsia="de-DE"/>
        </w:rPr>
        <w:t>e</w:t>
      </w:r>
      <w:r w:rsidRPr="00F737A5">
        <w:rPr>
          <w:rFonts w:asciiTheme="minorHAnsi" w:hAnsiTheme="minorHAnsi"/>
          <w:sz w:val="20"/>
          <w:szCs w:val="20"/>
          <w:lang w:eastAsia="de-DE"/>
        </w:rPr>
        <w:t>wiesen. Intrinsische Motivation lässt sich von außen nicht erzeugen, wohl aber beeinträchtigen und ze</w:t>
      </w:r>
      <w:r w:rsidRPr="00F737A5">
        <w:rPr>
          <w:rFonts w:asciiTheme="minorHAnsi" w:hAnsiTheme="minorHAnsi"/>
          <w:sz w:val="20"/>
          <w:szCs w:val="20"/>
          <w:lang w:eastAsia="de-DE"/>
        </w:rPr>
        <w:t>r</w:t>
      </w:r>
      <w:r w:rsidRPr="00F737A5">
        <w:rPr>
          <w:rFonts w:asciiTheme="minorHAnsi" w:hAnsiTheme="minorHAnsi"/>
          <w:sz w:val="20"/>
          <w:szCs w:val="20"/>
          <w:lang w:eastAsia="de-DE"/>
        </w:rPr>
        <w:t>stören. Nicht-Zutrauen ist eine wesentliche Ursache für Demotivation. Geht die Identifikation mit der Sache verloren, weil das planvolle Erfüllen von Zielvereinbarungen in den Vordergrund rückt, führt das zur Ent-Identifikation und Demotivation. Wichtiger als jedes Reformprogramm ist es, die Attraktivität des Pfarrberufs zu fördern, damit auch künftig theologisch qualifizierter Nachwuchs gewonnen werden kann.</w:t>
      </w:r>
    </w:p>
    <w:p w14:paraId="659761D3"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6. Das Grundproblem vieler Kirchenreformprogramme ist, dass sie zuviel Steuerbarkeit und Planbarkeit unte</w:t>
      </w:r>
      <w:r w:rsidRPr="00F737A5">
        <w:rPr>
          <w:rFonts w:asciiTheme="minorHAnsi" w:hAnsiTheme="minorHAnsi"/>
          <w:sz w:val="20"/>
          <w:szCs w:val="20"/>
          <w:lang w:eastAsia="de-DE"/>
        </w:rPr>
        <w:t>r</w:t>
      </w:r>
      <w:r w:rsidRPr="00F737A5">
        <w:rPr>
          <w:rFonts w:asciiTheme="minorHAnsi" w:hAnsiTheme="minorHAnsi"/>
          <w:sz w:val="20"/>
          <w:szCs w:val="20"/>
          <w:lang w:eastAsia="de-DE"/>
        </w:rPr>
        <w:t>stellen, dass sie Prozesse organisieren wollen, die sich nicht organisieren lassen. Die Kirche m</w:t>
      </w:r>
      <w:r w:rsidRPr="00F737A5">
        <w:rPr>
          <w:rFonts w:asciiTheme="minorHAnsi" w:hAnsiTheme="minorHAnsi"/>
          <w:sz w:val="20"/>
          <w:szCs w:val="20"/>
          <w:lang w:eastAsia="de-DE"/>
        </w:rPr>
        <w:t>a</w:t>
      </w:r>
      <w:r w:rsidRPr="00F737A5">
        <w:rPr>
          <w:rFonts w:asciiTheme="minorHAnsi" w:hAnsiTheme="minorHAnsi"/>
          <w:sz w:val="20"/>
          <w:szCs w:val="20"/>
          <w:lang w:eastAsia="de-DE"/>
        </w:rPr>
        <w:t>növriert sich dadurch in einen Aktivismus hinein, der große Frustrationen hervorrufen und die kirchlichen Mitarbeiterinnen und Mitarbeiter erschöpfen, auslaugen und überfordern wird. Die Organisation Kirche ist herausgefordert, die Rahmenbedingungen einer nicht zentralistischen Kirche so zu verbessern, dass die Wahrscheinlichkeit intera</w:t>
      </w:r>
      <w:r w:rsidRPr="00F737A5">
        <w:rPr>
          <w:rFonts w:asciiTheme="minorHAnsi" w:hAnsiTheme="minorHAnsi"/>
          <w:sz w:val="20"/>
          <w:szCs w:val="20"/>
          <w:lang w:eastAsia="de-DE"/>
        </w:rPr>
        <w:t>k</w:t>
      </w:r>
      <w:r w:rsidRPr="00F737A5">
        <w:rPr>
          <w:rFonts w:asciiTheme="minorHAnsi" w:hAnsiTheme="minorHAnsi"/>
          <w:sz w:val="20"/>
          <w:szCs w:val="20"/>
          <w:lang w:eastAsia="de-DE"/>
        </w:rPr>
        <w:t>tiver Begegnungen und informeller Beziehungen steigt und Menschen sich gern in ihr und für sie engagieren.</w:t>
      </w:r>
    </w:p>
    <w:p w14:paraId="7B90CBAB"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7. Der Glaube kann nicht gekauft werden wie ein Produkt. Menschen entscheiden sich nicht nach Belieben für oder gegen den Glauben. Es ist insofern unwahrscheinlich, dass insbesondere distanzierte Kirchenmi</w:t>
      </w:r>
      <w:r w:rsidRPr="00F737A5">
        <w:rPr>
          <w:rFonts w:asciiTheme="minorHAnsi" w:hAnsiTheme="minorHAnsi"/>
          <w:sz w:val="20"/>
          <w:szCs w:val="20"/>
          <w:lang w:eastAsia="de-DE"/>
        </w:rPr>
        <w:t>t</w:t>
      </w:r>
      <w:r w:rsidRPr="00F737A5">
        <w:rPr>
          <w:rFonts w:asciiTheme="minorHAnsi" w:hAnsiTheme="minorHAnsi"/>
          <w:sz w:val="20"/>
          <w:szCs w:val="20"/>
          <w:lang w:eastAsia="de-DE"/>
        </w:rPr>
        <w:t>glieder religiöse Angebote an weit entlegenen Orten wahrnehmen und für sich beanspruchen. Es bedarf in der funkt</w:t>
      </w:r>
      <w:r w:rsidRPr="00F737A5">
        <w:rPr>
          <w:rFonts w:asciiTheme="minorHAnsi" w:hAnsiTheme="minorHAnsi"/>
          <w:sz w:val="20"/>
          <w:szCs w:val="20"/>
          <w:lang w:eastAsia="de-DE"/>
        </w:rPr>
        <w:t>i</w:t>
      </w:r>
      <w:r w:rsidRPr="00F737A5">
        <w:rPr>
          <w:rFonts w:asciiTheme="minorHAnsi" w:hAnsiTheme="minorHAnsi"/>
          <w:sz w:val="20"/>
          <w:szCs w:val="20"/>
          <w:lang w:eastAsia="de-DE"/>
        </w:rPr>
        <w:t>onal differenzierten Gesellschaft starker Zentren und überregionaler Angebote und Verne</w:t>
      </w:r>
      <w:r w:rsidRPr="00F737A5">
        <w:rPr>
          <w:rFonts w:asciiTheme="minorHAnsi" w:hAnsiTheme="minorHAnsi"/>
          <w:sz w:val="20"/>
          <w:szCs w:val="20"/>
          <w:lang w:eastAsia="de-DE"/>
        </w:rPr>
        <w:t>t</w:t>
      </w:r>
      <w:r w:rsidRPr="00F737A5">
        <w:rPr>
          <w:rFonts w:asciiTheme="minorHAnsi" w:hAnsiTheme="minorHAnsi"/>
          <w:sz w:val="20"/>
          <w:szCs w:val="20"/>
          <w:lang w:eastAsia="de-DE"/>
        </w:rPr>
        <w:t>zungen, aber diese dürfen nicht gegen die Gemeindekirche ausgespielt werden. In der Regel entwickeln sich religiöses Interesse und religiöse Identität über das selbstverständliche »Mitlaufen« in familiärer und kirchlicher Sozialisation, nicht über eine spontan getroffene Entscheidung.</w:t>
      </w:r>
    </w:p>
    <w:p w14:paraId="7CE24E29"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8. In der Vielfalt ihrer Lebensformen ist die Familie die grundlegende und nachhaltigste Sozialisation</w:t>
      </w:r>
      <w:r w:rsidRPr="00F737A5">
        <w:rPr>
          <w:rFonts w:asciiTheme="minorHAnsi" w:hAnsiTheme="minorHAnsi"/>
          <w:sz w:val="20"/>
          <w:szCs w:val="20"/>
          <w:lang w:eastAsia="de-DE"/>
        </w:rPr>
        <w:t>s</w:t>
      </w:r>
      <w:r w:rsidRPr="00F737A5">
        <w:rPr>
          <w:rFonts w:asciiTheme="minorHAnsi" w:hAnsiTheme="minorHAnsi"/>
          <w:sz w:val="20"/>
          <w:szCs w:val="20"/>
          <w:lang w:eastAsia="de-DE"/>
        </w:rPr>
        <w:t>instanz. Der Einfluss der Eltern- und Großelternpersonen ist für die Kirchenbindung der allermeisten Menschen en</w:t>
      </w:r>
      <w:r w:rsidRPr="00F737A5">
        <w:rPr>
          <w:rFonts w:asciiTheme="minorHAnsi" w:hAnsiTheme="minorHAnsi"/>
          <w:sz w:val="20"/>
          <w:szCs w:val="20"/>
          <w:lang w:eastAsia="de-DE"/>
        </w:rPr>
        <w:t>t</w:t>
      </w:r>
      <w:r w:rsidRPr="00F737A5">
        <w:rPr>
          <w:rFonts w:asciiTheme="minorHAnsi" w:hAnsiTheme="minorHAnsi"/>
          <w:sz w:val="20"/>
          <w:szCs w:val="20"/>
          <w:lang w:eastAsia="de-DE"/>
        </w:rPr>
        <w:t>scheidend. Zugleich ist die Familie gerade in religiöser Hinsicht auf Unterstützung angewiesen. Da die Erziehung von Kindern und Jugendlichen vornehmlich lokal orientiert ist, haben die Kirchengemeinden (neben dem Rel</w:t>
      </w:r>
      <w:r w:rsidRPr="00F737A5">
        <w:rPr>
          <w:rFonts w:asciiTheme="minorHAnsi" w:hAnsiTheme="minorHAnsi"/>
          <w:sz w:val="20"/>
          <w:szCs w:val="20"/>
          <w:lang w:eastAsia="de-DE"/>
        </w:rPr>
        <w:t>i</w:t>
      </w:r>
      <w:r w:rsidRPr="00F737A5">
        <w:rPr>
          <w:rFonts w:asciiTheme="minorHAnsi" w:hAnsiTheme="minorHAnsi"/>
          <w:sz w:val="20"/>
          <w:szCs w:val="20"/>
          <w:lang w:eastAsia="de-DE"/>
        </w:rPr>
        <w:t>gionsunterricht an Schulen) hier eine zentrale Aufgabe. Eine Kirche, die gegen den Trend wachsen will, findet in diesem Bereich am ehesten Anknüpfungspunkte.</w:t>
      </w:r>
    </w:p>
    <w:p w14:paraId="10DD8298"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9. Kirchengebäude gehen in ihrer Bedeutung über ihre unmittelbare Funktion, Versammlungsort für Christi</w:t>
      </w:r>
      <w:r w:rsidRPr="00F737A5">
        <w:rPr>
          <w:rFonts w:asciiTheme="minorHAnsi" w:hAnsiTheme="minorHAnsi"/>
          <w:sz w:val="20"/>
          <w:szCs w:val="20"/>
          <w:lang w:eastAsia="de-DE"/>
        </w:rPr>
        <w:t>n</w:t>
      </w:r>
      <w:r w:rsidRPr="00F737A5">
        <w:rPr>
          <w:rFonts w:asciiTheme="minorHAnsi" w:hAnsiTheme="minorHAnsi"/>
          <w:sz w:val="20"/>
          <w:szCs w:val="20"/>
          <w:lang w:eastAsia="de-DE"/>
        </w:rPr>
        <w:t>nen und Christen zu sein, weit hinaus. Als sakrale Orte erinnern sie an existentielle Fragen der Religion. Sie sind exemplarische Orte der Präsenz Gottes in der Welt. Citykirchen sind Orte der kulturellen, Lokalkirchen vor a</w:t>
      </w:r>
      <w:r w:rsidRPr="00F737A5">
        <w:rPr>
          <w:rFonts w:asciiTheme="minorHAnsi" w:hAnsiTheme="minorHAnsi"/>
          <w:sz w:val="20"/>
          <w:szCs w:val="20"/>
          <w:lang w:eastAsia="de-DE"/>
        </w:rPr>
        <w:t>l</w:t>
      </w:r>
      <w:r w:rsidRPr="00F737A5">
        <w:rPr>
          <w:rFonts w:asciiTheme="minorHAnsi" w:hAnsiTheme="minorHAnsi"/>
          <w:sz w:val="20"/>
          <w:szCs w:val="20"/>
          <w:lang w:eastAsia="de-DE"/>
        </w:rPr>
        <w:t>lem Orte der biographischen Erinnerung. Kirchen symbolisieren in ihrer Stetigkeit und äußerl</w:t>
      </w:r>
      <w:r w:rsidRPr="00F737A5">
        <w:rPr>
          <w:rFonts w:asciiTheme="minorHAnsi" w:hAnsiTheme="minorHAnsi"/>
          <w:sz w:val="20"/>
          <w:szCs w:val="20"/>
          <w:lang w:eastAsia="de-DE"/>
        </w:rPr>
        <w:t>i</w:t>
      </w:r>
      <w:r w:rsidRPr="00F737A5">
        <w:rPr>
          <w:rFonts w:asciiTheme="minorHAnsi" w:hAnsiTheme="minorHAnsi"/>
          <w:sz w:val="20"/>
          <w:szCs w:val="20"/>
          <w:lang w:eastAsia="de-DE"/>
        </w:rPr>
        <w:t>chen Invarianz die Unverfügbarkeit individueller und kollektiver Daseinsbedingungen.</w:t>
      </w:r>
    </w:p>
    <w:p w14:paraId="1CE7B2E6"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10. Die mediale Präsenz der Kirche ist in der Mediengesellschaft von großer Bedeutung im Hinblick auf das Image und die gesellschaftliche Einflussmöglichkeiten der Kirche. Gleichwohl sind die lokalen Öffentlic</w:t>
      </w:r>
      <w:r w:rsidRPr="00F737A5">
        <w:rPr>
          <w:rFonts w:asciiTheme="minorHAnsi" w:hAnsiTheme="minorHAnsi"/>
          <w:sz w:val="20"/>
          <w:szCs w:val="20"/>
          <w:lang w:eastAsia="de-DE"/>
        </w:rPr>
        <w:t>h</w:t>
      </w:r>
      <w:r w:rsidRPr="00F737A5">
        <w:rPr>
          <w:rFonts w:asciiTheme="minorHAnsi" w:hAnsiTheme="minorHAnsi"/>
          <w:sz w:val="20"/>
          <w:szCs w:val="20"/>
          <w:lang w:eastAsia="de-DE"/>
        </w:rPr>
        <w:t>keiten nicht zu vernachlässigen. Sie sind sowohl zivilgesellschaftlich als auch für die gelebte Kirchlichkeit zentral und stellen überdies ein wichtiges Korrektiv der Massenmedien mit ihrer Neigung zur Simplifizierung und zum Alarmismus dar. Reale Begegnungen und reale Räume behalten auch in Zeiten fortschre</w:t>
      </w:r>
      <w:r w:rsidRPr="00F737A5">
        <w:rPr>
          <w:rFonts w:asciiTheme="minorHAnsi" w:hAnsiTheme="minorHAnsi"/>
          <w:sz w:val="20"/>
          <w:szCs w:val="20"/>
          <w:lang w:eastAsia="de-DE"/>
        </w:rPr>
        <w:t>i</w:t>
      </w:r>
      <w:r w:rsidRPr="00F737A5">
        <w:rPr>
          <w:rFonts w:asciiTheme="minorHAnsi" w:hAnsiTheme="minorHAnsi"/>
          <w:sz w:val="20"/>
          <w:szCs w:val="20"/>
          <w:lang w:eastAsia="de-DE"/>
        </w:rPr>
        <w:t>tender Virtualisierung der Gesellschaft eine hohe Bedeutung. Die Kirche lebt in ihren grundlegenden Vollzügen von leiblicher, verlet</w:t>
      </w:r>
      <w:r w:rsidRPr="00F737A5">
        <w:rPr>
          <w:rFonts w:asciiTheme="minorHAnsi" w:hAnsiTheme="minorHAnsi"/>
          <w:sz w:val="20"/>
          <w:szCs w:val="20"/>
          <w:lang w:eastAsia="de-DE"/>
        </w:rPr>
        <w:t>z</w:t>
      </w:r>
      <w:r w:rsidRPr="00F737A5">
        <w:rPr>
          <w:rFonts w:asciiTheme="minorHAnsi" w:hAnsiTheme="minorHAnsi"/>
          <w:sz w:val="20"/>
          <w:szCs w:val="20"/>
          <w:lang w:eastAsia="de-DE"/>
        </w:rPr>
        <w:t>licher, auf den Nächsten bezogener Kommunikation.</w:t>
      </w:r>
    </w:p>
    <w:p w14:paraId="7FC6E570" w14:textId="77777777" w:rsidR="00E62E9C" w:rsidRPr="00F737A5" w:rsidRDefault="00E62E9C" w:rsidP="00E62E9C">
      <w:pPr>
        <w:spacing w:line="240" w:lineRule="auto"/>
        <w:rPr>
          <w:rFonts w:asciiTheme="minorHAnsi" w:hAnsiTheme="minorHAnsi"/>
          <w:sz w:val="20"/>
          <w:szCs w:val="20"/>
          <w:lang w:eastAsia="de-DE"/>
        </w:rPr>
      </w:pPr>
      <w:r w:rsidRPr="00F737A5">
        <w:rPr>
          <w:rFonts w:asciiTheme="minorHAnsi" w:hAnsiTheme="minorHAnsi"/>
          <w:sz w:val="20"/>
          <w:szCs w:val="20"/>
          <w:lang w:eastAsia="de-DE"/>
        </w:rPr>
        <w:t>11. Durch die Ökonomisierung der Kirche entsteht eine Eigendynamik der Organisation, die sich theolog</w:t>
      </w:r>
      <w:r w:rsidRPr="00F737A5">
        <w:rPr>
          <w:rFonts w:asciiTheme="minorHAnsi" w:hAnsiTheme="minorHAnsi"/>
          <w:sz w:val="20"/>
          <w:szCs w:val="20"/>
          <w:lang w:eastAsia="de-DE"/>
        </w:rPr>
        <w:t>i</w:t>
      </w:r>
      <w:r w:rsidRPr="00F737A5">
        <w:rPr>
          <w:rFonts w:asciiTheme="minorHAnsi" w:hAnsiTheme="minorHAnsi"/>
          <w:sz w:val="20"/>
          <w:szCs w:val="20"/>
          <w:lang w:eastAsia="de-DE"/>
        </w:rPr>
        <w:t>schen Beurteilungskriterien mehr und mehr entzieht. An die Stelle theologischer Steuerung tritt immer stärker eine managementförmige Steuerung. Theologie wird zur legitimierenden Zweitcodierung. Für die Kirche der Zukunft ist es unabdingbar, dass sie wieder zu einem eigenen theologischen Selbstverständnis findet, dass sie religiös sprachfähig ist und sich als Organisation nicht von den Zwängen ökonomischer Logik fremdbestimmen lässt. Die Kirche ist Teil der Gesellschaft und zugleich Gegenhorizont zu einer durchrationalisierten, leistungsorie</w:t>
      </w:r>
      <w:r w:rsidRPr="00F737A5">
        <w:rPr>
          <w:rFonts w:asciiTheme="minorHAnsi" w:hAnsiTheme="minorHAnsi"/>
          <w:sz w:val="20"/>
          <w:szCs w:val="20"/>
          <w:lang w:eastAsia="de-DE"/>
        </w:rPr>
        <w:t>n</w:t>
      </w:r>
      <w:r w:rsidRPr="00F737A5">
        <w:rPr>
          <w:rFonts w:asciiTheme="minorHAnsi" w:hAnsiTheme="minorHAnsi"/>
          <w:sz w:val="20"/>
          <w:szCs w:val="20"/>
          <w:lang w:eastAsia="de-DE"/>
        </w:rPr>
        <w:t>tierten Welt. Sie symbolisiert das Unverfügbare, nicht Mess- und Berechenbare und darin das Angewiesensein auf Gottes Güte, Gnade und Erbarmen.</w:t>
      </w:r>
    </w:p>
    <w:p w14:paraId="636D4E49" w14:textId="2BE65FCD" w:rsidR="00B12D64" w:rsidRPr="00F737A5" w:rsidRDefault="00E62E9C" w:rsidP="006402D5">
      <w:pPr>
        <w:spacing w:line="240" w:lineRule="auto"/>
        <w:rPr>
          <w:rFonts w:asciiTheme="minorHAnsi" w:hAnsiTheme="minorHAnsi"/>
          <w:sz w:val="20"/>
          <w:szCs w:val="20"/>
          <w:lang w:eastAsia="de-DE"/>
        </w:rPr>
      </w:pPr>
      <w:r w:rsidRPr="00F737A5">
        <w:rPr>
          <w:rFonts w:asciiTheme="minorHAnsi" w:hAnsiTheme="minorHAnsi"/>
          <w:sz w:val="20"/>
          <w:szCs w:val="20"/>
          <w:lang w:eastAsia="de-DE"/>
        </w:rPr>
        <w:t>12. Die eigentliche Krise der Kirche ist nicht eine Finanz-, sondern eine theologische Orientierungskrise. Was hat die Kirche Menschen in der modernen Gesellschaft zu sagen? Wie lässt sich theologisch substa</w:t>
      </w:r>
      <w:r w:rsidRPr="00F737A5">
        <w:rPr>
          <w:rFonts w:asciiTheme="minorHAnsi" w:hAnsiTheme="minorHAnsi"/>
          <w:sz w:val="20"/>
          <w:szCs w:val="20"/>
          <w:lang w:eastAsia="de-DE"/>
        </w:rPr>
        <w:t>n</w:t>
      </w:r>
      <w:r w:rsidRPr="00F737A5">
        <w:rPr>
          <w:rFonts w:asciiTheme="minorHAnsi" w:hAnsiTheme="minorHAnsi"/>
          <w:sz w:val="20"/>
          <w:szCs w:val="20"/>
          <w:lang w:eastAsia="de-DE"/>
        </w:rPr>
        <w:t>tiell und zugleich existentiell relevant von Gott reden, von Kreuz und Auferstehung, von Sünde und Ve</w:t>
      </w:r>
      <w:r w:rsidRPr="00F737A5">
        <w:rPr>
          <w:rFonts w:asciiTheme="minorHAnsi" w:hAnsiTheme="minorHAnsi"/>
          <w:sz w:val="20"/>
          <w:szCs w:val="20"/>
          <w:lang w:eastAsia="de-DE"/>
        </w:rPr>
        <w:t>r</w:t>
      </w:r>
      <w:r w:rsidRPr="00F737A5">
        <w:rPr>
          <w:rFonts w:asciiTheme="minorHAnsi" w:hAnsiTheme="minorHAnsi"/>
          <w:sz w:val="20"/>
          <w:szCs w:val="20"/>
          <w:lang w:eastAsia="de-DE"/>
        </w:rPr>
        <w:t>gebung, von Gnade, Liebe und Gerechtigkeit? Wie beheimaten sich Menschen im christlichen Glauben? Hier liegt die eigen</w:t>
      </w:r>
      <w:r w:rsidRPr="00F737A5">
        <w:rPr>
          <w:rFonts w:asciiTheme="minorHAnsi" w:hAnsiTheme="minorHAnsi"/>
          <w:sz w:val="20"/>
          <w:szCs w:val="20"/>
          <w:lang w:eastAsia="de-DE"/>
        </w:rPr>
        <w:t>t</w:t>
      </w:r>
      <w:r w:rsidRPr="00F737A5">
        <w:rPr>
          <w:rFonts w:asciiTheme="minorHAnsi" w:hAnsiTheme="minorHAnsi"/>
          <w:sz w:val="20"/>
          <w:szCs w:val="20"/>
          <w:lang w:eastAsia="de-DE"/>
        </w:rPr>
        <w:t>liche Herausforderung, der sich Theologie und Kirche stellen müssen.</w:t>
      </w:r>
    </w:p>
    <w:sectPr w:rsidR="00B12D64" w:rsidRPr="00F737A5" w:rsidSect="0032199B">
      <w:headerReference w:type="default" r:id="rId19"/>
      <w:footerReference w:type="even" r:id="rId20"/>
      <w:footerReference w:type="default" r:id="rId21"/>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058A7" w14:textId="77777777" w:rsidR="00425AC6" w:rsidRDefault="00425AC6" w:rsidP="000D11E1">
      <w:pPr>
        <w:spacing w:after="0" w:line="240" w:lineRule="auto"/>
      </w:pPr>
      <w:r>
        <w:separator/>
      </w:r>
    </w:p>
  </w:endnote>
  <w:endnote w:type="continuationSeparator" w:id="0">
    <w:p w14:paraId="6B23F48B" w14:textId="77777777" w:rsidR="00425AC6" w:rsidRDefault="00425AC6"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9FA40" w14:textId="77777777" w:rsidR="00425AC6" w:rsidRDefault="00425AC6"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E825260" w14:textId="77777777" w:rsidR="00425AC6" w:rsidRDefault="00425AC6"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896A2" w14:textId="77777777" w:rsidR="00425AC6" w:rsidRPr="00496B32" w:rsidRDefault="00425AC6" w:rsidP="0022019D">
    <w:pPr>
      <w:pStyle w:val="Fuzeile"/>
      <w:ind w:right="360"/>
      <w:jc w:val="right"/>
      <w:rPr>
        <w:sz w:val="20"/>
        <w:szCs w:val="20"/>
      </w:rPr>
    </w:pPr>
    <w:r>
      <w:fldChar w:fldCharType="begin"/>
    </w:r>
    <w:r>
      <w:instrText xml:space="preserve"> PAGE  \* MERGEFORMAT </w:instrText>
    </w:r>
    <w:r>
      <w:fldChar w:fldCharType="separate"/>
    </w:r>
    <w:r w:rsidR="00F737A5" w:rsidRPr="00F737A5">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75DFA7ED" wp14:editId="203A1CA5">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23E76C7E" w14:textId="77777777" w:rsidR="00425AC6" w:rsidRPr="00496B32" w:rsidRDefault="00425AC6" w:rsidP="000D11E1">
    <w:pPr>
      <w:pStyle w:val="Fuzeile"/>
      <w:rPr>
        <w:sz w:val="16"/>
        <w:szCs w:val="16"/>
      </w:rPr>
    </w:pPr>
    <w:r>
      <w:rPr>
        <w:sz w:val="16"/>
        <w:szCs w:val="16"/>
      </w:rPr>
      <w:t>16. November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44415" w14:textId="77777777" w:rsidR="00425AC6" w:rsidRDefault="00425AC6" w:rsidP="000D11E1">
      <w:pPr>
        <w:spacing w:after="0" w:line="240" w:lineRule="auto"/>
      </w:pPr>
      <w:r>
        <w:separator/>
      </w:r>
    </w:p>
  </w:footnote>
  <w:footnote w:type="continuationSeparator" w:id="0">
    <w:p w14:paraId="7AC9ACE4" w14:textId="77777777" w:rsidR="00425AC6" w:rsidRDefault="00425AC6" w:rsidP="000D11E1">
      <w:pPr>
        <w:spacing w:after="0" w:line="240" w:lineRule="auto"/>
      </w:pPr>
      <w:r>
        <w:continuationSeparator/>
      </w:r>
    </w:p>
  </w:footnote>
  <w:footnote w:id="1">
    <w:p w14:paraId="55FC3B27" w14:textId="77777777" w:rsidR="00425AC6" w:rsidRDefault="00425AC6" w:rsidP="00F1726C">
      <w:pPr>
        <w:pStyle w:val="Funotentext"/>
      </w:pPr>
      <w:r>
        <w:rPr>
          <w:rStyle w:val="Funotenzeichen"/>
        </w:rPr>
        <w:footnoteRef/>
      </w:r>
      <w:r>
        <w:t xml:space="preserve"> Vgl. z.B. </w:t>
      </w:r>
      <w:r>
        <w:fldChar w:fldCharType="begin"/>
      </w:r>
      <w:r>
        <w:instrText xml:space="preserve"> ADDIN EN.CITE &lt;EndNote&gt;&lt;Cite&gt;&lt;Author&gt;Zimmermann&lt;/Author&gt;&lt;Year&gt;2009&lt;/Year&gt;&lt;RecNum&gt;948&lt;/RecNum&gt;&lt;DisplayText&gt;Johannes Zimmermann 2009&lt;/DisplayText&gt;&lt;record&gt;&lt;rec-number&gt;948&lt;/rec-number&gt;&lt;foreign-keys&gt;&lt;key app="EN" db-id="0t0dxv9vetdatmef0a959d9wdwf995aa9dxw"&gt;948&lt;/key&gt;&lt;/foreign-keys&gt;&lt;ref-type name="Book"&gt;6&lt;/ref-type&gt;&lt;contributors&gt;&lt;authors&gt;&lt;author&gt;Johannes Zimmermann&lt;/author&gt;&lt;/authors&gt;&lt;/contributors&gt;&lt;titles&gt;&lt;title&gt;Gemeinde zwischen Individualität und Sozialität. Herausforderungen für den Gemeindeaufbau im gesellschaftlichen Wandel&lt;/title&gt;&lt;secondary-title&gt;BEG&lt;/secondary-title&gt;&lt;/titles&gt;&lt;number&gt;Bd. 3&lt;/number&gt;&lt;edition&gt;2. Aufl. &lt;/edition&gt;&lt;dates&gt;&lt;year&gt;2009&lt;/year&gt;&lt;/dates&gt;&lt;pub-location&gt;Neukirchen-Vluyn&lt;/pub-location&gt;&lt;urls&gt;&lt;/urls&gt;&lt;/record&gt;&lt;/Cite&gt;&lt;/EndNote&gt;</w:instrText>
      </w:r>
      <w:r>
        <w:fldChar w:fldCharType="separate"/>
      </w:r>
      <w:r>
        <w:rPr>
          <w:noProof/>
        </w:rPr>
        <w:t>Johannes Zimmermann 2009</w:t>
      </w:r>
      <w:r>
        <w:fldChar w:fldCharType="end"/>
      </w:r>
      <w:r>
        <w:t xml:space="preserve">, 203-222; vgl. ausführlich </w:t>
      </w:r>
      <w:r>
        <w:fldChar w:fldCharType="begin"/>
      </w:r>
      <w:r>
        <w:instrText xml:space="preserve"> ADDIN EN.CITE &lt;EndNote&gt;&lt;Cite&gt;&lt;Author&gt;Herbst&lt;/Author&gt;&lt;Year&gt;2010&lt;/Year&gt;&lt;RecNum&gt;1672&lt;/RecNum&gt;&lt;DisplayText&gt;Michael Herbst 2010&lt;/DisplayText&gt;&lt;record&gt;&lt;rec-number&gt;1672&lt;/rec-number&gt;&lt;foreign-keys&gt;&lt;key app="EN" db-id="0t0dxv9vetdatmef0a959d9wdwf995aa9dxw"&gt;1672&lt;/key&gt;&lt;/foreign-keys&gt;&lt;ref-type name="Book"&gt;6&lt;/ref-type&gt;&lt;contributors&gt;&lt;authors&gt;&lt;author&gt;Michael Herbst&lt;/author&gt;&lt;/authors&gt;&lt;secondary-authors&gt;&lt;author&gt;Michael Herbst&lt;/author&gt;&lt;author&gt;Jörg Ohlemacher&lt;/author&gt;&lt;author&gt;Johannes ZImmermann&lt;/author&gt;&lt;/secondary-authors&gt;&lt;/contributors&gt;&lt;titles&gt;&lt;title&gt;Missionarischer Gemeindeaufbau in der Volkskirche&lt;/title&gt;&lt;secondary-title&gt;BEG&lt;/secondary-title&gt;&lt;/titles&gt;&lt;number&gt;Bd. 8&lt;/number&gt;&lt;edition&gt;5. deutlich erweiterte Aufl.&lt;/edition&gt;&lt;dates&gt;&lt;year&gt;2010&lt;/year&gt;&lt;/dates&gt;&lt;pub-location&gt;Neukirchen-Vluyn&lt;/pub-location&gt;&lt;urls&gt;&lt;/urls&gt;&lt;/record&gt;&lt;/Cite&gt;&lt;/EndNote&gt;</w:instrText>
      </w:r>
      <w:r>
        <w:fldChar w:fldCharType="separate"/>
      </w:r>
      <w:r>
        <w:rPr>
          <w:noProof/>
        </w:rPr>
        <w:t>Michael Herbst 2010</w:t>
      </w:r>
      <w:r>
        <w:fldChar w:fldCharType="end"/>
      </w:r>
      <w:r>
        <w:t>.</w:t>
      </w:r>
    </w:p>
  </w:footnote>
  <w:footnote w:id="2">
    <w:p w14:paraId="4B8EF4A1" w14:textId="70DB7EAC" w:rsidR="00425AC6" w:rsidRDefault="00425AC6" w:rsidP="0018132B">
      <w:pPr>
        <w:pStyle w:val="Funotentext"/>
      </w:pPr>
      <w:r>
        <w:rPr>
          <w:rStyle w:val="Funotenzeichen"/>
        </w:rPr>
        <w:footnoteRef/>
      </w:r>
      <w:r>
        <w:t xml:space="preserve"> Vgl. </w:t>
      </w:r>
      <w:r>
        <w:fldChar w:fldCharType="begin"/>
      </w:r>
      <w:r>
        <w:instrText xml:space="preserve"> ADDIN EN.CITE &lt;EndNote&gt;&lt;Cite&gt;&lt;Author&gt;Pohl-Patalong&lt;/Author&gt;&lt;Year&gt;2004&lt;/Year&gt;&lt;RecNum&gt;936&lt;/RecNum&gt;&lt;DisplayText&gt;Uta Pohl-Patalong 2003a; Uta Pohl-Patalong 2004&lt;/DisplayText&gt;&lt;record&gt;&lt;rec-number&gt;936&lt;/rec-number&gt;&lt;foreign-keys&gt;&lt;key app="EN" db-id="0t0dxv9vetdatmef0a959d9wdwf995aa9dxw"&gt;936&lt;/key&gt;&lt;/foreign-keys&gt;&lt;ref-type name="Book"&gt;6&lt;/ref-type&gt;&lt;contributors&gt;&lt;authors&gt;&lt;author&gt;Uta Pohl-Patalong&lt;/author&gt;&lt;/authors&gt;&lt;/contributors&gt;&lt;titles&gt;&lt;title&gt;Von der Ortskirche zu kirchlichen Orten. Ein Zukunftsmodell&lt;/title&gt;&lt;/titles&gt;&lt;dates&gt;&lt;year&gt;2004&lt;/year&gt;&lt;/dates&gt;&lt;pub-location&gt;Göttingen&lt;/pub-location&gt;&lt;urls&gt;&lt;/urls&gt;&lt;/record&gt;&lt;/Cite&gt;&lt;Cite&gt;&lt;Author&gt;Pohl-Patalong&lt;/Author&gt;&lt;Year&gt;2003&lt;/Year&gt;&lt;RecNum&gt;2169&lt;/RecNum&gt;&lt;record&gt;&lt;rec-number&gt;2169&lt;/rec-number&gt;&lt;foreign-keys&gt;&lt;key app="EN" db-id="0t0dxv9vetdatmef0a959d9wdwf995aa9dxw"&gt;2169&lt;/key&gt;&lt;/foreign-keys&gt;&lt;ref-type name="Book"&gt;6&lt;/ref-type&gt;&lt;contributors&gt;&lt;authors&gt;&lt;author&gt;Uta Pohl-Patalong&lt;/author&gt;&lt;/authors&gt;&lt;/contributors&gt;&lt;titles&gt;&lt;title&gt;Ortsgemeinde und übergemeindliche Arbeit im Konflikt. Eine Analyse der Argumentationen und ein alternatives Modell&lt;/title&gt;&lt;/titles&gt;&lt;keywords&gt;&lt;keyword&gt;Habil. Bonn&lt;/keyword&gt;&lt;/keywords&gt;&lt;dates&gt;&lt;year&gt;2003&lt;/year&gt;&lt;/dates&gt;&lt;pub-location&gt;Göttingen&lt;/pub-location&gt;&lt;urls&gt;&lt;/urls&gt;&lt;/record&gt;&lt;/Cite&gt;&lt;/EndNote&gt;</w:instrText>
      </w:r>
      <w:r>
        <w:fldChar w:fldCharType="separate"/>
      </w:r>
      <w:r>
        <w:rPr>
          <w:noProof/>
        </w:rPr>
        <w:t>Uta Pohl-Patalong 2003a; Uta Pohl-Patalong 2004</w:t>
      </w:r>
      <w:r>
        <w:fldChar w:fldCharType="end"/>
      </w:r>
      <w:r>
        <w:t xml:space="preserve">; vgl. auch z.B. </w:t>
      </w:r>
      <w:r>
        <w:fldChar w:fldCharType="begin"/>
      </w:r>
      <w:r>
        <w:instrText xml:space="preserve"> ADDIN EN.CITE &lt;EndNote&gt;&lt;Cite&gt;&lt;Author&gt;Pohl-Patalong&lt;/Author&gt;&lt;Year&gt;2003&lt;/Year&gt;&lt;RecNum&gt;1094&lt;/RecNum&gt;&lt;DisplayText&gt;Uta Pohl-Patalong 2003b, &lt;/DisplayText&gt;&lt;record&gt;&lt;rec-number&gt;1094&lt;/rec-number&gt;&lt;foreign-keys&gt;&lt;key app="EN" db-id="0t0dxv9vetdatmef0a959d9wdwf995aa9dxw"&gt;1094&lt;/key&gt;&lt;/foreign-keys&gt;&lt;ref-type name="Journal Article"&gt;17&lt;/ref-type&gt;&lt;contributors&gt;&lt;authors&gt;&lt;author&gt;Uta Pohl-Patalong&lt;/author&gt;&lt;/authors&gt;&lt;/contributors&gt;&lt;titles&gt;&lt;title&gt;Regionalisierung - das Modell der Zukunft? Plädoyer für eine ebenso grundlegende wie kreative Debatte&lt;/title&gt;&lt;secondary-title&gt;PTh&lt;/secondary-title&gt;&lt;/titles&gt;&lt;periodical&gt;&lt;full-title&gt;PTh&lt;/full-title&gt;&lt;/periodical&gt;&lt;pages&gt;66-80&lt;/pages&gt;&lt;volume&gt;92&lt;/volume&gt;&lt;dates&gt;&lt;year&gt;2003&lt;/year&gt;&lt;/dates&gt;&lt;urls&gt;&lt;/urls&gt;&lt;/record&gt;&lt;/Cite&gt;&lt;/EndNote&gt;</w:instrText>
      </w:r>
      <w:r>
        <w:fldChar w:fldCharType="separate"/>
      </w:r>
      <w:r>
        <w:rPr>
          <w:noProof/>
        </w:rPr>
        <w:t xml:space="preserve">Uta Pohl-Patalong 2003b, </w:t>
      </w:r>
      <w:r>
        <w:fldChar w:fldCharType="end"/>
      </w:r>
      <w:r>
        <w:t xml:space="preserve">66-80; </w:t>
      </w:r>
      <w:r>
        <w:fldChar w:fldCharType="begin"/>
      </w:r>
      <w:r>
        <w:instrText xml:space="preserve"> ADDIN EN.CITE &lt;EndNote&gt;&lt;Cite&gt;&lt;Author&gt;Pohl-Patalong&lt;/Author&gt;&lt;Year&gt;2008&lt;/Year&gt;&lt;RecNum&gt;2771&lt;/RecNum&gt;&lt;DisplayText&gt;Uta Pohl-Patalong 2008, &lt;/DisplayText&gt;&lt;record&gt;&lt;rec-number&gt;2771&lt;/rec-number&gt;&lt;foreign-keys&gt;&lt;key app="EN" db-id="0t0dxv9vetdatmef0a959d9wdwf995aa9dxw"&gt;2771&lt;/key&gt;&lt;/foreign-keys&gt;&lt;ref-type name="Book Section"&gt;5&lt;/ref-type&gt;&lt;contributors&gt;&lt;authors&gt;&lt;author&gt;Uta Pohl-Patalong&lt;/author&gt;&lt;/authors&gt;&lt;secondary-authors&gt;&lt;author&gt;Stefan Bölts&lt;/author&gt;&lt;author&gt;Wolfgang Nethöfel&lt;/author&gt;&lt;/secondary-authors&gt;&lt;/contributors&gt;&lt;titles&gt;&lt;title&gt;Regionalisierung als Zukunftsmodell? Implikationen und Alternativen einer Debatte&lt;/title&gt;&lt;secondary-title&gt;Aufbruch in die Region. Kirchenreform zwischen Zwangsfusion und profilierter Nachbarschaft&lt;/secondary-title&gt;&lt;/titles&gt;&lt;pages&gt;91-107&lt;/pages&gt;&lt;dates&gt;&lt;year&gt;2008&lt;/year&gt;&lt;/dates&gt;&lt;pub-location&gt;Hamburg&lt;/pub-location&gt;&lt;urls&gt;&lt;/urls&gt;&lt;/record&gt;&lt;/Cite&gt;&lt;/EndNote&gt;</w:instrText>
      </w:r>
      <w:r>
        <w:fldChar w:fldCharType="separate"/>
      </w:r>
      <w:r>
        <w:rPr>
          <w:noProof/>
        </w:rPr>
        <w:t xml:space="preserve">Uta Pohl-Patalong 2008, </w:t>
      </w:r>
      <w:r>
        <w:fldChar w:fldCharType="end"/>
      </w:r>
      <w:r>
        <w:t>91-107.</w:t>
      </w:r>
    </w:p>
  </w:footnote>
  <w:footnote w:id="3">
    <w:p w14:paraId="64E21CE1" w14:textId="58C1BC92" w:rsidR="00425AC6" w:rsidRDefault="00425AC6" w:rsidP="00C94979">
      <w:pPr>
        <w:pStyle w:val="Funotentext"/>
      </w:pPr>
      <w:r>
        <w:rPr>
          <w:rStyle w:val="Funotenzeichen"/>
        </w:rPr>
        <w:footnoteRef/>
      </w:r>
      <w:r>
        <w:t xml:space="preserve"> Vgl. </w:t>
      </w:r>
      <w:r>
        <w:fldChar w:fldCharType="begin"/>
      </w:r>
      <w:r>
        <w:instrText xml:space="preserve"> ADDIN EN.CITE &lt;EndNote&gt;&lt;Cite&gt;&lt;Author&gt;Roosen&lt;/Author&gt;&lt;Year&gt;1997&lt;/Year&gt;&lt;RecNum&gt;2769&lt;/RecNum&gt;&lt;DisplayText&gt;Rudolf Roosen 1997&lt;/DisplayText&gt;&lt;record&gt;&lt;rec-number&gt;2769&lt;/rec-number&gt;&lt;foreign-keys&gt;&lt;key app="EN" db-id="0t0dxv9vetdatmef0a959d9wdwf995aa9dxw"&gt;2769&lt;/key&gt;&lt;/foreign-keys&gt;&lt;ref-type name="Book"&gt;6&lt;/ref-type&gt;&lt;contributors&gt;&lt;authors&gt;&lt;author&gt;Rudolf Roosen&lt;/author&gt;&lt;/authors&gt;&lt;/contributors&gt;&lt;titles&gt;&lt;title&gt;Die Kirchengemeinde. Sozialsystem im Wandel&lt;/title&gt;&lt;/titles&gt;&lt;dates&gt;&lt;year&gt;1997&lt;/year&gt;&lt;/dates&gt;&lt;pub-location&gt;Berlin&lt;/pub-location&gt;&lt;urls&gt;&lt;/urls&gt;&lt;/record&gt;&lt;/Cite&gt;&lt;/EndNote&gt;</w:instrText>
      </w:r>
      <w:r>
        <w:fldChar w:fldCharType="separate"/>
      </w:r>
      <w:r>
        <w:rPr>
          <w:noProof/>
        </w:rPr>
        <w:t>Rudolf Roosen 1997</w:t>
      </w:r>
      <w:r>
        <w:fldChar w:fldCharType="end"/>
      </w:r>
      <w:r>
        <w:t>; Zitat: Seite 2.</w:t>
      </w:r>
    </w:p>
  </w:footnote>
  <w:footnote w:id="4">
    <w:p w14:paraId="5D58869C" w14:textId="6CC1B25F" w:rsidR="00425AC6" w:rsidRDefault="00425AC6" w:rsidP="00E14A1B">
      <w:pPr>
        <w:pStyle w:val="Funotentext"/>
      </w:pPr>
      <w:r>
        <w:rPr>
          <w:rStyle w:val="Funotenzeichen"/>
        </w:rPr>
        <w:footnoteRef/>
      </w:r>
      <w:r>
        <w:t xml:space="preserve"> Vgl. </w:t>
      </w:r>
      <w:r>
        <w:fldChar w:fldCharType="begin"/>
      </w:r>
      <w:r>
        <w:instrText xml:space="preserve"> ADDIN EN.CITE &lt;EndNote&gt;&lt;Cite&gt;&lt;Author&gt;Kretzschmar&lt;/Author&gt;&lt;Year&gt;2007&lt;/Year&gt;&lt;RecNum&gt;1743&lt;/RecNum&gt;&lt;DisplayText&gt;Gerald Kretzschmar 2007&lt;/DisplayText&gt;&lt;record&gt;&lt;rec-number&gt;1743&lt;/rec-number&gt;&lt;foreign-keys&gt;&lt;key app="EN" db-id="0t0dxv9vetdatmef0a959d9wdwf995aa9dxw"&gt;1743&lt;/key&gt;&lt;/foreign-keys&gt;&lt;ref-type name="Book"&gt;6&lt;/ref-type&gt;&lt;contributors&gt;&lt;authors&gt;&lt;author&gt;Gerald Kretzschmar&lt;/author&gt;&lt;/authors&gt;&lt;/contributors&gt;&lt;titles&gt;&lt;title&gt;Kirchenbindung. Praktische Theologie der mediatisierten Kommunikation&lt;/title&gt;&lt;/titles&gt;&lt;dates&gt;&lt;year&gt;2007&lt;/year&gt;&lt;/dates&gt;&lt;pub-location&gt;Göttingen&lt;/pub-location&gt;&lt;urls&gt;&lt;/urls&gt;&lt;/record&gt;&lt;/Cite&gt;&lt;/EndNote&gt;</w:instrText>
      </w:r>
      <w:r>
        <w:fldChar w:fldCharType="separate"/>
      </w:r>
      <w:r>
        <w:rPr>
          <w:noProof/>
        </w:rPr>
        <w:t>Gerald Kretzschmar 2007</w:t>
      </w:r>
      <w:r>
        <w:fldChar w:fldCharType="end"/>
      </w:r>
      <w:r>
        <w:t xml:space="preserve">; vgl. auch </w:t>
      </w:r>
      <w:r>
        <w:fldChar w:fldCharType="begin"/>
      </w:r>
      <w:r>
        <w:instrText xml:space="preserve"> ADDIN EN.CITE &lt;EndNote&gt;&lt;Cite&gt;&lt;Author&gt;Kretzschmar&lt;/Author&gt;&lt;Year&gt;2012&lt;/Year&gt;&lt;RecNum&gt;2538&lt;/RecNum&gt;&lt;DisplayText&gt;Gerald Kretzschmar 2012, &lt;/DisplayText&gt;&lt;record&gt;&lt;rec-number&gt;2538&lt;/rec-number&gt;&lt;foreign-keys&gt;&lt;key app="EN" db-id="0t0dxv9vetdatmef0a959d9wdwf995aa9dxw"&gt;2538&lt;/key&gt;&lt;/foreign-keys&gt;&lt;ref-type name="Journal Article"&gt;17&lt;/ref-type&gt;&lt;contributors&gt;&lt;authors&gt;&lt;author&gt;Gerald Kretzschmar&lt;/author&gt;&lt;/authors&gt;&lt;/contributors&gt;&lt;titles&gt;&lt;title&gt;Mitgliederorientierung und Kirchenreform. Die Empirie der Kirchenbindung als Orientierungsgröße für kirchliche Strukturreform&lt;/title&gt;&lt;secondary-title&gt;PTh&lt;/secondary-title&gt;&lt;/titles&gt;&lt;periodical&gt;&lt;full-title&gt;PTh&lt;/full-title&gt;&lt;/periodical&gt;&lt;pages&gt;152-168&lt;/pages&gt;&lt;volume&gt;101&lt;/volume&gt;&lt;keywords&gt;&lt;keyword&gt;KMU, Bedürfnisse, Mission, Gemeindeaufbau, Kirchendistanz, Strukturreform, Pfarrer&lt;/keyword&gt;&lt;/keywords&gt;&lt;dates&gt;&lt;year&gt;2012&lt;/year&gt;&lt;/dates&gt;&lt;urls&gt;&lt;/urls&gt;&lt;/record&gt;&lt;/Cite&gt;&lt;/EndNote&gt;</w:instrText>
      </w:r>
      <w:r>
        <w:fldChar w:fldCharType="separate"/>
      </w:r>
      <w:r>
        <w:rPr>
          <w:noProof/>
        </w:rPr>
        <w:t xml:space="preserve">Gerald Kretzschmar 2012, </w:t>
      </w:r>
      <w:r>
        <w:fldChar w:fldCharType="end"/>
      </w:r>
      <w:r>
        <w:t>152-168.</w:t>
      </w:r>
    </w:p>
  </w:footnote>
  <w:footnote w:id="5">
    <w:p w14:paraId="6ABA8009" w14:textId="77777777" w:rsidR="00425AC6" w:rsidRDefault="00425AC6" w:rsidP="001C0148">
      <w:pPr>
        <w:pStyle w:val="Funotentext"/>
      </w:pPr>
      <w:r>
        <w:rPr>
          <w:rStyle w:val="Funotenzeichen"/>
        </w:rPr>
        <w:footnoteRef/>
      </w:r>
      <w:r>
        <w:t xml:space="preserve"> </w:t>
      </w:r>
      <w:r>
        <w:fldChar w:fldCharType="begin"/>
      </w:r>
      <w:r>
        <w:instrText xml:space="preserve"> ADDIN EN.CITE &lt;EndNote&gt;&lt;Cite&gt;&lt;Author&gt;Kretzschmar&lt;/Author&gt;&lt;Year&gt;2012&lt;/Year&gt;&lt;RecNum&gt;2538&lt;/RecNum&gt;&lt;DisplayText&gt;Gerald Kretzschmar 2012, &lt;/DisplayText&gt;&lt;record&gt;&lt;rec-number&gt;2538&lt;/rec-number&gt;&lt;foreign-keys&gt;&lt;key app="EN" db-id="0t0dxv9vetdatmef0a959d9wdwf995aa9dxw"&gt;2538&lt;/key&gt;&lt;/foreign-keys&gt;&lt;ref-type name="Journal Article"&gt;17&lt;/ref-type&gt;&lt;contributors&gt;&lt;authors&gt;&lt;author&gt;Gerald Kretzschmar&lt;/author&gt;&lt;/authors&gt;&lt;/contributors&gt;&lt;titles&gt;&lt;title&gt;Mitgliederorientierung und Kirchenreform. Die Empirie der Kirchenbindung als Orientierungsgröße für kirchliche Strukturreform&lt;/title&gt;&lt;secondary-title&gt;PTh&lt;/secondary-title&gt;&lt;/titles&gt;&lt;periodical&gt;&lt;full-title&gt;PTh&lt;/full-title&gt;&lt;/periodical&gt;&lt;pages&gt;152-168&lt;/pages&gt;&lt;volume&gt;101&lt;/volume&gt;&lt;keywords&gt;&lt;keyword&gt;KMU, Bedürfnisse, Mission, Gemeindeaufbau, Kirchendistanz, Strukturreform, Pfarrer&lt;/keyword&gt;&lt;/keywords&gt;&lt;dates&gt;&lt;year&gt;2012&lt;/year&gt;&lt;/dates&gt;&lt;urls&gt;&lt;/urls&gt;&lt;/record&gt;&lt;/Cite&gt;&lt;/EndNote&gt;</w:instrText>
      </w:r>
      <w:r>
        <w:fldChar w:fldCharType="separate"/>
      </w:r>
      <w:r>
        <w:rPr>
          <w:noProof/>
        </w:rPr>
        <w:t xml:space="preserve">Gerald Kretzschmar 2012, </w:t>
      </w:r>
      <w:r>
        <w:fldChar w:fldCharType="end"/>
      </w:r>
      <w:r>
        <w:t>156.</w:t>
      </w:r>
    </w:p>
  </w:footnote>
  <w:footnote w:id="6">
    <w:p w14:paraId="06D8D073" w14:textId="77777777" w:rsidR="00425AC6" w:rsidRDefault="00425AC6" w:rsidP="001C0148">
      <w:pPr>
        <w:pStyle w:val="Funotentext"/>
      </w:pPr>
      <w:r>
        <w:rPr>
          <w:rStyle w:val="Funotenzeichen"/>
        </w:rPr>
        <w:footnoteRef/>
      </w:r>
      <w:r>
        <w:t xml:space="preserve"> </w:t>
      </w:r>
      <w:r>
        <w:fldChar w:fldCharType="begin"/>
      </w:r>
      <w:r>
        <w:instrText xml:space="preserve"> ADDIN EN.CITE &lt;EndNote&gt;&lt;Cite&gt;&lt;Author&gt;Kretzschmar&lt;/Author&gt;&lt;Year&gt;2012&lt;/Year&gt;&lt;RecNum&gt;2538&lt;/RecNum&gt;&lt;DisplayText&gt;Ibid.&lt;/DisplayText&gt;&lt;record&gt;&lt;rec-number&gt;2538&lt;/rec-number&gt;&lt;foreign-keys&gt;&lt;key app="EN" db-id="0t0dxv9vetdatmef0a959d9wdwf995aa9dxw"&gt;2538&lt;/key&gt;&lt;/foreign-keys&gt;&lt;ref-type name="Journal Article"&gt;17&lt;/ref-type&gt;&lt;contributors&gt;&lt;authors&gt;&lt;author&gt;Gerald Kretzschmar&lt;/author&gt;&lt;/authors&gt;&lt;/contributors&gt;&lt;titles&gt;&lt;title&gt;Mitgliederorientierung und Kirchenreform. Die Empirie der Kirchenbindung als Orientierungsgröße für kirchliche Strukturreform&lt;/title&gt;&lt;secondary-title&gt;PTh&lt;/secondary-title&gt;&lt;/titles&gt;&lt;periodical&gt;&lt;full-title&gt;PTh&lt;/full-title&gt;&lt;/periodical&gt;&lt;pages&gt;152-168&lt;/pages&gt;&lt;volume&gt;101&lt;/volume&gt;&lt;keywords&gt;&lt;keyword&gt;KMU, Bedürfnisse, Mission, Gemeindeaufbau, Kirchendistanz, Strukturreform, Pfarrer&lt;/keyword&gt;&lt;/keywords&gt;&lt;dates&gt;&lt;year&gt;2012&lt;/year&gt;&lt;/dates&gt;&lt;urls&gt;&lt;/urls&gt;&lt;/record&gt;&lt;/Cite&gt;&lt;/EndNote&gt;</w:instrText>
      </w:r>
      <w:r>
        <w:fldChar w:fldCharType="separate"/>
      </w:r>
      <w:r>
        <w:rPr>
          <w:noProof/>
        </w:rPr>
        <w:t>Ibid.</w:t>
      </w:r>
      <w:r>
        <w:fldChar w:fldCharType="end"/>
      </w:r>
    </w:p>
  </w:footnote>
  <w:footnote w:id="7">
    <w:p w14:paraId="4F2CF32A" w14:textId="77777777" w:rsidR="00425AC6" w:rsidRDefault="00425AC6" w:rsidP="00544B85">
      <w:pPr>
        <w:pStyle w:val="Funotentext"/>
      </w:pPr>
      <w:r>
        <w:rPr>
          <w:rStyle w:val="Funotenzeichen"/>
        </w:rPr>
        <w:footnoteRef/>
      </w:r>
      <w:r>
        <w:t xml:space="preserve"> Vgl. </w:t>
      </w:r>
      <w:r>
        <w:fldChar w:fldCharType="begin"/>
      </w:r>
      <w:r>
        <w:instrText xml:space="preserve"> ADDIN EN.CITE &lt;EndNote&gt;&lt;Cite&gt;&lt;Author&gt;Sander&lt;/Author&gt;&lt;Year&gt;1998&lt;/Year&gt;&lt;RecNum&gt;2541&lt;/RecNum&gt;&lt;DisplayText&gt;Uwe Sander 1998&lt;/DisplayText&gt;&lt;record&gt;&lt;rec-number&gt;2541&lt;/rec-number&gt;&lt;foreign-keys&gt;&lt;key app="EN" db-id="0t0dxv9vetdatmef0a959d9wdwf995aa9dxw"&gt;2541&lt;/key&gt;&lt;/foreign-keys&gt;&lt;ref-type name="Book"&gt;6&lt;/ref-type&gt;&lt;contributors&gt;&lt;authors&gt;&lt;author&gt;Uwe Sander&lt;/author&gt;&lt;/authors&gt;&lt;/contributors&gt;&lt;titles&gt;&lt;title&gt;Die Bindung der Unverbindlichkeit. Meditatisierte Kommunikation in der modernen Gesellschaft&lt;/title&gt;&lt;/titles&gt;&lt;dates&gt;&lt;year&gt;1998&lt;/year&gt;&lt;/dates&gt;&lt;pub-location&gt;Frankfurt/M.&lt;/pub-location&gt;&lt;urls&gt;&lt;/urls&gt;&lt;/record&gt;&lt;/Cite&gt;&lt;/EndNote&gt;</w:instrText>
      </w:r>
      <w:r>
        <w:fldChar w:fldCharType="separate"/>
      </w:r>
      <w:r>
        <w:rPr>
          <w:noProof/>
        </w:rPr>
        <w:t>Uwe Sander 1998</w:t>
      </w:r>
      <w:r>
        <w:fldChar w:fldCharType="end"/>
      </w:r>
      <w:r>
        <w:t>.</w:t>
      </w:r>
    </w:p>
  </w:footnote>
  <w:footnote w:id="8">
    <w:p w14:paraId="0504FA69" w14:textId="77777777" w:rsidR="00425AC6" w:rsidRDefault="00425AC6" w:rsidP="00D92FBF">
      <w:pPr>
        <w:pStyle w:val="Funotentext"/>
      </w:pPr>
      <w:r>
        <w:rPr>
          <w:rStyle w:val="Funotenzeichen"/>
        </w:rPr>
        <w:footnoteRef/>
      </w:r>
      <w:r>
        <w:t xml:space="preserve"> Vgl. </w:t>
      </w:r>
      <w:r>
        <w:fldChar w:fldCharType="begin"/>
      </w:r>
      <w:r>
        <w:instrText xml:space="preserve"> ADDIN EN.CITE &lt;EndNote&gt;&lt;Cite&gt;&lt;Author&gt;Kretzschmar&lt;/Author&gt;&lt;Year&gt;2012&lt;/Year&gt;&lt;RecNum&gt;2538&lt;/RecNum&gt;&lt;DisplayText&gt;Ibid.&lt;/DisplayText&gt;&lt;record&gt;&lt;rec-number&gt;2538&lt;/rec-number&gt;&lt;foreign-keys&gt;&lt;key app="EN" db-id="0t0dxv9vetdatmef0a959d9wdwf995aa9dxw"&gt;2538&lt;/key&gt;&lt;/foreign-keys&gt;&lt;ref-type name="Journal Article"&gt;17&lt;/ref-type&gt;&lt;contributors&gt;&lt;authors&gt;&lt;author&gt;Gerald Kretzschmar&lt;/author&gt;&lt;/authors&gt;&lt;/contributors&gt;&lt;titles&gt;&lt;title&gt;Mitgliederorientierung und Kirchenreform. Die Empirie der Kirchenbindung als Orientierungsgröße für kirchliche Strukturreform&lt;/title&gt;&lt;secondary-title&gt;PTh&lt;/secondary-title&gt;&lt;/titles&gt;&lt;periodical&gt;&lt;full-title&gt;PTh&lt;/full-title&gt;&lt;/periodical&gt;&lt;pages&gt;152-168&lt;/pages&gt;&lt;volume&gt;101&lt;/volume&gt;&lt;keywords&gt;&lt;keyword&gt;KMU, Bedürfnisse, Mission, Gemeindeaufbau, Kirchendistanz, Strukturreform, Pfarrer&lt;/keyword&gt;&lt;/keywords&gt;&lt;dates&gt;&lt;year&gt;2012&lt;/year&gt;&lt;/dates&gt;&lt;urls&gt;&lt;/urls&gt;&lt;/record&gt;&lt;/Cite&gt;&lt;/EndNote&gt;</w:instrText>
      </w:r>
      <w:r>
        <w:fldChar w:fldCharType="separate"/>
      </w:r>
      <w:r>
        <w:rPr>
          <w:noProof/>
        </w:rPr>
        <w:t>Ibid.</w:t>
      </w:r>
      <w:r>
        <w:fldChar w:fldCharType="end"/>
      </w:r>
      <w:r>
        <w:t>, 158-160.</w:t>
      </w:r>
    </w:p>
  </w:footnote>
  <w:footnote w:id="9">
    <w:p w14:paraId="2B5CBA34" w14:textId="77777777" w:rsidR="00425AC6" w:rsidRDefault="00425AC6" w:rsidP="001C0148">
      <w:pPr>
        <w:pStyle w:val="Funotentext"/>
      </w:pPr>
      <w:r>
        <w:rPr>
          <w:rStyle w:val="Funotenzeichen"/>
        </w:rPr>
        <w:footnoteRef/>
      </w:r>
      <w:r>
        <w:t xml:space="preserve"> </w:t>
      </w:r>
      <w:r>
        <w:fldChar w:fldCharType="begin"/>
      </w:r>
      <w:r>
        <w:instrText xml:space="preserve"> ADDIN EN.CITE &lt;EndNote&gt;&lt;Cite&gt;&lt;Author&gt;Kretzschmar&lt;/Author&gt;&lt;Year&gt;2012&lt;/Year&gt;&lt;RecNum&gt;2538&lt;/RecNum&gt;&lt;DisplayText&gt;Ibid.&lt;/DisplayText&gt;&lt;record&gt;&lt;rec-number&gt;2538&lt;/rec-number&gt;&lt;foreign-keys&gt;&lt;key app="EN" db-id="0t0dxv9vetdatmef0a959d9wdwf995aa9dxw"&gt;2538&lt;/key&gt;&lt;/foreign-keys&gt;&lt;ref-type name="Journal Article"&gt;17&lt;/ref-type&gt;&lt;contributors&gt;&lt;authors&gt;&lt;author&gt;Gerald Kretzschmar&lt;/author&gt;&lt;/authors&gt;&lt;/contributors&gt;&lt;titles&gt;&lt;title&gt;Mitgliederorientierung und Kirchenreform. Die Empirie der Kirchenbindung als Orientierungsgröße für kirchliche Strukturreform&lt;/title&gt;&lt;secondary-title&gt;PTh&lt;/secondary-title&gt;&lt;/titles&gt;&lt;periodical&gt;&lt;full-title&gt;PTh&lt;/full-title&gt;&lt;/periodical&gt;&lt;pages&gt;152-168&lt;/pages&gt;&lt;volume&gt;101&lt;/volume&gt;&lt;keywords&gt;&lt;keyword&gt;KMU, Bedürfnisse, Mission, Gemeindeaufbau, Kirchendistanz, Strukturreform, Pfarrer&lt;/keyword&gt;&lt;/keywords&gt;&lt;dates&gt;&lt;year&gt;2012&lt;/year&gt;&lt;/dates&gt;&lt;urls&gt;&lt;/urls&gt;&lt;/record&gt;&lt;/Cite&gt;&lt;/EndNote&gt;</w:instrText>
      </w:r>
      <w:r>
        <w:fldChar w:fldCharType="separate"/>
      </w:r>
      <w:r>
        <w:rPr>
          <w:noProof/>
        </w:rPr>
        <w:t>Ibid.</w:t>
      </w:r>
      <w:r>
        <w:fldChar w:fldCharType="end"/>
      </w:r>
      <w:r>
        <w:t>, 160f.</w:t>
      </w:r>
    </w:p>
  </w:footnote>
  <w:footnote w:id="10">
    <w:p w14:paraId="365C479D" w14:textId="10D9CDEA" w:rsidR="00425AC6" w:rsidRDefault="00425AC6" w:rsidP="00E62E9C">
      <w:pPr>
        <w:pStyle w:val="Funotentext"/>
      </w:pPr>
      <w:r>
        <w:rPr>
          <w:rStyle w:val="Funotenzeichen"/>
        </w:rPr>
        <w:footnoteRef/>
      </w:r>
      <w:r>
        <w:t xml:space="preserve"> Vgl. </w:t>
      </w:r>
      <w:r>
        <w:fldChar w:fldCharType="begin"/>
      </w:r>
      <w:r>
        <w:instrText xml:space="preserve"> ADDIN EN.CITE &lt;EndNote&gt;&lt;Cite&gt;&lt;Author&gt;Kretzschmar&lt;/Author&gt;&lt;Year&gt;2012&lt;/Year&gt;&lt;RecNum&gt;2538&lt;/RecNum&gt;&lt;DisplayText&gt;Ibid.&lt;/DisplayText&gt;&lt;record&gt;&lt;rec-number&gt;2538&lt;/rec-number&gt;&lt;foreign-keys&gt;&lt;key app="EN" db-id="0t0dxv9vetdatmef0a959d9wdwf995aa9dxw"&gt;2538&lt;/key&gt;&lt;/foreign-keys&gt;&lt;ref-type name="Journal Article"&gt;17&lt;/ref-type&gt;&lt;contributors&gt;&lt;authors&gt;&lt;author&gt;Gerald Kretzschmar&lt;/author&gt;&lt;/authors&gt;&lt;/contributors&gt;&lt;titles&gt;&lt;title&gt;Mitgliederorientierung und Kirchenreform. Die Empirie der Kirchenbindung als Orientierungsgröße für kirchliche Strukturreform&lt;/title&gt;&lt;secondary-title&gt;PTh&lt;/secondary-title&gt;&lt;/titles&gt;&lt;periodical&gt;&lt;full-title&gt;PTh&lt;/full-title&gt;&lt;/periodical&gt;&lt;pages&gt;152-168&lt;/pages&gt;&lt;volume&gt;101&lt;/volume&gt;&lt;keywords&gt;&lt;keyword&gt;KMU, Bedürfnisse, Mission, Gemeindeaufbau, Kirchendistanz, Strukturreform, Pfarrer&lt;/keyword&gt;&lt;/keywords&gt;&lt;dates&gt;&lt;year&gt;2012&lt;/year&gt;&lt;/dates&gt;&lt;urls&gt;&lt;/urls&gt;&lt;/record&gt;&lt;/Cite&gt;&lt;/EndNote&gt;</w:instrText>
      </w:r>
      <w:r>
        <w:fldChar w:fldCharType="separate"/>
      </w:r>
      <w:r>
        <w:rPr>
          <w:noProof/>
        </w:rPr>
        <w:t>Ibid.</w:t>
      </w:r>
      <w:r>
        <w:fldChar w:fldCharType="end"/>
      </w:r>
      <w:r>
        <w:t xml:space="preserve">, 163-165. </w:t>
      </w:r>
      <w:r w:rsidRPr="00C9748A">
        <w:rPr>
          <w:i/>
          <w:lang w:eastAsia="de-DE"/>
        </w:rPr>
        <w:t>„Aus dem breiten Themenspektrum, das die Kirche vorhält, sind es das gottesdienstlich-geistliche Leben, die kasuelle Begleitung in Schwellensituationen des Lebens und das diakonisch helfende Ha</w:t>
      </w:r>
      <w:r w:rsidRPr="00C9748A">
        <w:rPr>
          <w:i/>
          <w:lang w:eastAsia="de-DE"/>
        </w:rPr>
        <w:t>n</w:t>
      </w:r>
      <w:r w:rsidRPr="00C9748A">
        <w:rPr>
          <w:i/>
          <w:lang w:eastAsia="de-DE"/>
        </w:rPr>
        <w:t>deln für spezielle Zielgruppen, die in Fragen der Kirchenbindung von zentraler Bedeutung sind.“</w:t>
      </w:r>
      <w:r>
        <w:rPr>
          <w:i/>
          <w:lang w:eastAsia="de-DE"/>
        </w:rPr>
        <w:t xml:space="preserve"> </w:t>
      </w:r>
      <w:r w:rsidRPr="00C9748A">
        <w:rPr>
          <w:lang w:eastAsia="de-DE"/>
        </w:rPr>
        <w:t xml:space="preserve">(165) </w:t>
      </w:r>
      <w:r>
        <w:rPr>
          <w:lang w:eastAsia="de-DE"/>
        </w:rPr>
        <w:t>Und diese Themen sind ja, so Kretzschmar, erfreulicherweise mit dem Auftrag der Kirche sehr gut ko</w:t>
      </w:r>
      <w:r>
        <w:rPr>
          <w:lang w:eastAsia="de-DE"/>
        </w:rPr>
        <w:t>m</w:t>
      </w:r>
      <w:r>
        <w:rPr>
          <w:lang w:eastAsia="de-DE"/>
        </w:rPr>
        <w:t>patibel (vgl. 166).</w:t>
      </w:r>
    </w:p>
  </w:footnote>
  <w:footnote w:id="11">
    <w:p w14:paraId="128AC79B" w14:textId="33600AEE" w:rsidR="00425AC6" w:rsidRDefault="00425AC6" w:rsidP="00E62E9C">
      <w:pPr>
        <w:pStyle w:val="Funotentext"/>
      </w:pPr>
      <w:r>
        <w:rPr>
          <w:rStyle w:val="Funotenzeichen"/>
        </w:rPr>
        <w:footnoteRef/>
      </w:r>
      <w:r>
        <w:t xml:space="preserve"> </w:t>
      </w:r>
      <w:r>
        <w:fldChar w:fldCharType="begin"/>
      </w:r>
      <w:r>
        <w:instrText xml:space="preserve"> ADDIN EN.CITE &lt;EndNote&gt;&lt;Cite&gt;&lt;Author&gt;Kretzschmar&lt;/Author&gt;&lt;Year&gt;2012&lt;/Year&gt;&lt;RecNum&gt;2538&lt;/RecNum&gt;&lt;DisplayText&gt;Ibid.&lt;/DisplayText&gt;&lt;record&gt;&lt;rec-number&gt;2538&lt;/rec-number&gt;&lt;foreign-keys&gt;&lt;key app="EN" db-id="0t0dxv9vetdatmef0a959d9wdwf995aa9dxw"&gt;2538&lt;/key&gt;&lt;/foreign-keys&gt;&lt;ref-type name="Journal Article"&gt;17&lt;/ref-type&gt;&lt;contributors&gt;&lt;authors&gt;&lt;author&gt;Gerald Kretzschmar&lt;/author&gt;&lt;/authors&gt;&lt;/contributors&gt;&lt;titles&gt;&lt;title&gt;Mitgliederorientierung und Kirchenreform. Die Empirie der Kirchenbindung als Orientierungsgröße für kirchliche Strukturreform&lt;/title&gt;&lt;secondary-title&gt;PTh&lt;/secondary-title&gt;&lt;/titles&gt;&lt;periodical&gt;&lt;full-title&gt;PTh&lt;/full-title&gt;&lt;/periodical&gt;&lt;pages&gt;152-168&lt;/pages&gt;&lt;volume&gt;101&lt;/volume&gt;&lt;keywords&gt;&lt;keyword&gt;KMU, Bedürfnisse, Mission, Gemeindeaufbau, Kirchendistanz, Strukturreform, Pfarrer&lt;/keyword&gt;&lt;/keywords&gt;&lt;dates&gt;&lt;year&gt;2012&lt;/year&gt;&lt;/dates&gt;&lt;urls&gt;&lt;/urls&gt;&lt;/record&gt;&lt;/Cite&gt;&lt;/EndNote&gt;</w:instrText>
      </w:r>
      <w:r>
        <w:fldChar w:fldCharType="separate"/>
      </w:r>
      <w:r>
        <w:rPr>
          <w:noProof/>
        </w:rPr>
        <w:t>Ibid.</w:t>
      </w:r>
      <w:r>
        <w:fldChar w:fldCharType="end"/>
      </w:r>
      <w:r>
        <w:t xml:space="preserve">, 166. </w:t>
      </w:r>
      <w:r>
        <w:rPr>
          <w:lang w:eastAsia="de-DE"/>
        </w:rPr>
        <w:t xml:space="preserve">Seine Überlegungen, das sagt er frank und frei, </w:t>
      </w:r>
      <w:bookmarkStart w:id="13" w:name="OLE_LINK19"/>
      <w:bookmarkStart w:id="14" w:name="OLE_LINK20"/>
      <w:r>
        <w:rPr>
          <w:lang w:eastAsia="de-DE"/>
        </w:rPr>
        <w:t>„legen strukturkonservative Zugänge nahe“</w:t>
      </w:r>
      <w:bookmarkEnd w:id="13"/>
      <w:bookmarkEnd w:id="14"/>
      <w:r>
        <w:rPr>
          <w:lang w:eastAsia="de-DE"/>
        </w:rPr>
        <w:t>.</w:t>
      </w:r>
    </w:p>
  </w:footnote>
  <w:footnote w:id="12">
    <w:p w14:paraId="49E281B5" w14:textId="77777777" w:rsidR="00425AC6" w:rsidRDefault="00425AC6" w:rsidP="00E62E9C">
      <w:pPr>
        <w:pStyle w:val="Funotentext"/>
      </w:pPr>
      <w:r>
        <w:rPr>
          <w:rStyle w:val="Funotenzeichen"/>
        </w:rPr>
        <w:footnoteRef/>
      </w:r>
      <w:r>
        <w:t xml:space="preserve"> </w:t>
      </w:r>
      <w:r>
        <w:fldChar w:fldCharType="begin"/>
      </w:r>
      <w:r>
        <w:instrText xml:space="preserve"> ADDIN EN.CITE &lt;EndNote&gt;&lt;Cite&gt;&lt;Author&gt;Kretzschmar&lt;/Author&gt;&lt;Year&gt;2012&lt;/Year&gt;&lt;RecNum&gt;2538&lt;/RecNum&gt;&lt;DisplayText&gt;Ibid.&lt;/DisplayText&gt;&lt;record&gt;&lt;rec-number&gt;2538&lt;/rec-number&gt;&lt;foreign-keys&gt;&lt;key app="EN" db-id="0t0dxv9vetdatmef0a959d9wdwf995aa9dxw"&gt;2538&lt;/key&gt;&lt;/foreign-keys&gt;&lt;ref-type name="Journal Article"&gt;17&lt;/ref-type&gt;&lt;contributors&gt;&lt;authors&gt;&lt;author&gt;Gerald Kretzschmar&lt;/author&gt;&lt;/authors&gt;&lt;/contributors&gt;&lt;titles&gt;&lt;title&gt;Mitgliederorientierung und Kirchenreform. Die Empirie der Kirchenbindung als Orientierungsgröße für kirchliche Strukturreform&lt;/title&gt;&lt;secondary-title&gt;PTh&lt;/secondary-title&gt;&lt;/titles&gt;&lt;periodical&gt;&lt;full-title&gt;PTh&lt;/full-title&gt;&lt;/periodical&gt;&lt;pages&gt;152-168&lt;/pages&gt;&lt;volume&gt;101&lt;/volume&gt;&lt;keywords&gt;&lt;keyword&gt;KMU, Bedürfnisse, Mission, Gemeindeaufbau, Kirchendistanz, Strukturreform, Pfarrer&lt;/keyword&gt;&lt;/keywords&gt;&lt;dates&gt;&lt;year&gt;2012&lt;/year&gt;&lt;/dates&gt;&lt;urls&gt;&lt;/urls&gt;&lt;/record&gt;&lt;/Cite&gt;&lt;/EndNote&gt;</w:instrText>
      </w:r>
      <w:r>
        <w:fldChar w:fldCharType="separate"/>
      </w:r>
      <w:r>
        <w:rPr>
          <w:noProof/>
        </w:rPr>
        <w:t>Ibid.</w:t>
      </w:r>
      <w:r>
        <w:fldChar w:fldCharType="end"/>
      </w:r>
      <w:r>
        <w:t>, 167.</w:t>
      </w:r>
    </w:p>
  </w:footnote>
  <w:footnote w:id="13">
    <w:p w14:paraId="1196DDCA" w14:textId="77777777" w:rsidR="00425AC6" w:rsidRDefault="00425AC6" w:rsidP="00E62E9C">
      <w:pPr>
        <w:pStyle w:val="Funotentext"/>
      </w:pPr>
      <w:r>
        <w:rPr>
          <w:rStyle w:val="Funotenzeichen"/>
        </w:rPr>
        <w:footnoteRef/>
      </w:r>
      <w:r>
        <w:t xml:space="preserve"> Die folgende Darstellung folgt </w:t>
      </w:r>
      <w:r>
        <w:fldChar w:fldCharType="begin"/>
      </w:r>
      <w:r>
        <w:instrText xml:space="preserve"> ADDIN EN.CITE &lt;EndNote&gt;&lt;Cite&gt;&lt;Author&gt;Karle&lt;/Author&gt;&lt;Year&gt;2010&lt;/Year&gt;&lt;RecNum&gt;1394&lt;/RecNum&gt;&lt;DisplayText&gt;Isolde Karle 2010&lt;/DisplayText&gt;&lt;record&gt;&lt;rec-number&gt;1394&lt;/rec-number&gt;&lt;foreign-keys&gt;&lt;key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Isolde Karle 2010</w:t>
      </w:r>
      <w:r>
        <w:fldChar w:fldCharType="end"/>
      </w:r>
      <w:r>
        <w:t xml:space="preserve">. Vgl. auch die Kritik an diesem Buch von </w:t>
      </w:r>
      <w:r>
        <w:fldChar w:fldCharType="begin"/>
      </w:r>
      <w:r>
        <w:instrText xml:space="preserve"> ADDIN EN.CITE &lt;EndNote&gt;&lt;Cite&gt;&lt;Author&gt;Heidbrink&lt;/Author&gt;&lt;Year&gt;2012&lt;/Year&gt;&lt;RecNum&gt;2717&lt;/RecNum&gt;&lt;DisplayText&gt;Gregor Heidbrink 2012, &lt;/DisplayText&gt;&lt;record&gt;&lt;rec-number&gt;2717&lt;/rec-number&gt;&lt;foreign-keys&gt;&lt;key app="EN" db-id="0t0dxv9vetdatmef0a959d9wdwf995aa9dxw"&gt;2717&lt;/key&gt;&lt;/foreign-keys&gt;&lt;ref-type name="Journal Article"&gt;17&lt;/ref-type&gt;&lt;contributors&gt;&lt;authors&gt;&lt;author&gt;Gregor Heidbrink&lt;/author&gt;&lt;/authors&gt;&lt;/contributors&gt;&lt;titles&gt;&lt;title&gt;Israel im Reformstress. 1 Sam 8 und die Kirche der Freiheit&lt;/title&gt;&lt;secondary-title&gt;Ichthys&lt;/secondary-title&gt;&lt;/titles&gt;&lt;periodical&gt;&lt;full-title&gt;Ichthys&lt;/full-title&gt;&lt;/periodical&gt;&lt;pages&gt;62-71&lt;/pages&gt;&lt;volume&gt;28&lt;/volume&gt;&lt;dates&gt;&lt;year&gt;2012&lt;/year&gt;&lt;/dates&gt;&lt;urls&gt;&lt;/urls&gt;&lt;/record&gt;&lt;/Cite&gt;&lt;/EndNote&gt;</w:instrText>
      </w:r>
      <w:r>
        <w:fldChar w:fldCharType="separate"/>
      </w:r>
      <w:r>
        <w:rPr>
          <w:noProof/>
        </w:rPr>
        <w:t xml:space="preserve">Gregor Heidbrink 2012, </w:t>
      </w:r>
      <w:r>
        <w:fldChar w:fldCharType="end"/>
      </w:r>
      <w:r>
        <w:t xml:space="preserve">62-71. Einige Zitate stammen im Folgenden auch aus den 12 Thesen von Isolde Karle zur Kirchenreform, die sich im Netzwerk Kirchenreform finden lassen: </w:t>
      </w:r>
      <w:hyperlink r:id="rId1" w:history="1">
        <w:r w:rsidRPr="0041352F">
          <w:rPr>
            <w:rStyle w:val="Link"/>
          </w:rPr>
          <w:t>http://www.kirchenreform.net/12-thesen-zur-kirchenreform.html</w:t>
        </w:r>
      </w:hyperlink>
      <w:r>
        <w:t xml:space="preserve"> - aufgesucht am 14. November 2012. Sie finden sich auch in: </w:t>
      </w:r>
      <w:r>
        <w:fldChar w:fldCharType="begin"/>
      </w:r>
      <w:r>
        <w:instrText xml:space="preserve"> ADDIN EN.CITE &lt;EndNote&gt;&lt;Cite&gt;&lt;Author&gt;Karle&lt;/Author&gt;&lt;Year&gt;2010&lt;/Year&gt;&lt;RecNum&gt;1394&lt;/RecNum&gt;&lt;DisplayText&gt;Isolde Karle 2010&lt;/DisplayText&gt;&lt;record&gt;&lt;rec-number&gt;1394&lt;/rec-number&gt;&lt;foreign-keys&gt;&lt;key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Isolde Karle 2010</w:t>
      </w:r>
      <w:r>
        <w:fldChar w:fldCharType="end"/>
      </w:r>
      <w:r>
        <w:t>, 258-261.</w:t>
      </w:r>
    </w:p>
  </w:footnote>
  <w:footnote w:id="14">
    <w:p w14:paraId="6F80F7B8" w14:textId="77777777" w:rsidR="00425AC6" w:rsidRDefault="00425AC6" w:rsidP="00E62E9C">
      <w:pPr>
        <w:pStyle w:val="Funotentext"/>
      </w:pPr>
      <w:r>
        <w:rPr>
          <w:rStyle w:val="Funotenzeichen"/>
        </w:rPr>
        <w:footnoteRef/>
      </w:r>
      <w:r>
        <w:t xml:space="preserve"> </w:t>
      </w:r>
      <w:r>
        <w:fldChar w:fldCharType="begin"/>
      </w:r>
      <w:r>
        <w:instrText xml:space="preserve"> ADDIN EN.CITE &lt;EndNote&gt;&lt;Cite&gt;&lt;Author&gt;Karle&lt;/Author&gt;&lt;Year&gt;2010&lt;/Year&gt;&lt;RecNum&gt;1394&lt;/RecNum&gt;&lt;DisplayText&gt;Ibid.&lt;/DisplayText&gt;&lt;record&gt;&lt;rec-number&gt;1394&lt;/rec-number&gt;&lt;foreign-keys&gt;&lt;key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Ibid.</w:t>
      </w:r>
      <w:r>
        <w:fldChar w:fldCharType="end"/>
      </w:r>
      <w:r>
        <w:t>, 124.</w:t>
      </w:r>
    </w:p>
  </w:footnote>
  <w:footnote w:id="15">
    <w:p w14:paraId="41AC4009" w14:textId="77777777" w:rsidR="00425AC6" w:rsidRDefault="00425AC6" w:rsidP="00E62E9C">
      <w:pPr>
        <w:pStyle w:val="Funotentext"/>
      </w:pPr>
      <w:r>
        <w:rPr>
          <w:rStyle w:val="Funotenzeichen"/>
        </w:rPr>
        <w:footnoteRef/>
      </w:r>
      <w:r>
        <w:t xml:space="preserve"> These 3 aus den 12 Thesen zur Kirchenreform (s.o.).</w:t>
      </w:r>
    </w:p>
  </w:footnote>
  <w:footnote w:id="16">
    <w:p w14:paraId="08216C38" w14:textId="77777777" w:rsidR="00425AC6" w:rsidRDefault="00425AC6" w:rsidP="00E62E9C">
      <w:pPr>
        <w:pStyle w:val="Funotentext"/>
      </w:pPr>
      <w:r>
        <w:rPr>
          <w:rStyle w:val="Funotenzeichen"/>
        </w:rPr>
        <w:footnoteRef/>
      </w:r>
      <w:r>
        <w:t xml:space="preserve"> Vgl. </w:t>
      </w:r>
      <w:r>
        <w:fldChar w:fldCharType="begin"/>
      </w:r>
      <w:r>
        <w:instrText xml:space="preserve"> ADDIN EN.CITE &lt;EndNote&gt;&lt;Cite&gt;&lt;Author&gt;Karle&lt;/Author&gt;&lt;Year&gt;2010&lt;/Year&gt;&lt;RecNum&gt;1394&lt;/RecNum&gt;&lt;DisplayText&gt;Isolde Karle 2010&lt;/DisplayText&gt;&lt;record&gt;&lt;rec-number&gt;1394&lt;/rec-number&gt;&lt;foreign-keys&gt;&lt;key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Isolde Karle 2010</w:t>
      </w:r>
      <w:r>
        <w:fldChar w:fldCharType="end"/>
      </w:r>
      <w:r>
        <w:t>, 88.</w:t>
      </w:r>
    </w:p>
  </w:footnote>
  <w:footnote w:id="17">
    <w:p w14:paraId="054156BF" w14:textId="77777777" w:rsidR="00425AC6" w:rsidRDefault="00425AC6" w:rsidP="00E62E9C">
      <w:pPr>
        <w:pStyle w:val="Funotentext"/>
      </w:pPr>
      <w:r>
        <w:rPr>
          <w:rStyle w:val="Funotenzeichen"/>
        </w:rPr>
        <w:footnoteRef/>
      </w:r>
      <w:r>
        <w:t xml:space="preserve"> </w:t>
      </w:r>
      <w:r>
        <w:fldChar w:fldCharType="begin"/>
      </w:r>
      <w:r>
        <w:instrText xml:space="preserve"> ADDIN EN.CITE &lt;EndNote&gt;&lt;Cite&gt;&lt;Author&gt;Karle&lt;/Author&gt;&lt;Year&gt;2010&lt;/Year&gt;&lt;RecNum&gt;1394&lt;/RecNum&gt;&lt;DisplayText&gt;Ibid.&lt;/DisplayText&gt;&lt;record&gt;&lt;rec-number&gt;1394&lt;/rec-number&gt;&lt;foreign-keys&gt;&lt;key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Ibid.</w:t>
      </w:r>
      <w:r>
        <w:fldChar w:fldCharType="end"/>
      </w:r>
      <w:r>
        <w:t>, 42.</w:t>
      </w:r>
    </w:p>
  </w:footnote>
  <w:footnote w:id="18">
    <w:p w14:paraId="2169887F" w14:textId="77777777" w:rsidR="00425AC6" w:rsidRDefault="00425AC6" w:rsidP="00E62E9C">
      <w:pPr>
        <w:pStyle w:val="Funotentext"/>
      </w:pPr>
      <w:r>
        <w:rPr>
          <w:rStyle w:val="Funotenzeichen"/>
        </w:rPr>
        <w:footnoteRef/>
      </w:r>
      <w:r>
        <w:t xml:space="preserve"> </w:t>
      </w:r>
      <w:r>
        <w:fldChar w:fldCharType="begin"/>
      </w:r>
      <w:r>
        <w:instrText xml:space="preserve"> ADDIN EN.CITE &lt;EndNote&gt;&lt;Cite&gt;&lt;Author&gt;Karle&lt;/Author&gt;&lt;Year&gt;2010&lt;/Year&gt;&lt;RecNum&gt;1394&lt;/RecNum&gt;&lt;DisplayText&gt;Ibid.&lt;/DisplayText&gt;&lt;record&gt;&lt;rec-number&gt;1394&lt;/rec-number&gt;&lt;foreign-keys&gt;&lt;key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Ibid.</w:t>
      </w:r>
      <w:r>
        <w:fldChar w:fldCharType="end"/>
      </w:r>
      <w:r>
        <w:t>, 132.</w:t>
      </w:r>
    </w:p>
  </w:footnote>
  <w:footnote w:id="19">
    <w:p w14:paraId="18CE44D2" w14:textId="77777777" w:rsidR="00425AC6" w:rsidRDefault="00425AC6" w:rsidP="00425AC6">
      <w:pPr>
        <w:pStyle w:val="Funotentext"/>
      </w:pPr>
      <w:r>
        <w:rPr>
          <w:rStyle w:val="Funotenzeichen"/>
        </w:rPr>
        <w:footnoteRef/>
      </w:r>
      <w:r>
        <w:t xml:space="preserve"> These 4 aus den 12 Thesen zur Kirchenreform.</w:t>
      </w:r>
    </w:p>
  </w:footnote>
  <w:footnote w:id="20">
    <w:p w14:paraId="2302AD9D" w14:textId="77777777" w:rsidR="00425AC6" w:rsidRDefault="00425AC6" w:rsidP="00E62E9C">
      <w:pPr>
        <w:pStyle w:val="Funotentext"/>
      </w:pPr>
      <w:r>
        <w:rPr>
          <w:rStyle w:val="Funotenzeichen"/>
        </w:rPr>
        <w:footnoteRef/>
      </w:r>
      <w:r>
        <w:t xml:space="preserve"> Vgl. </w:t>
      </w:r>
      <w:r>
        <w:fldChar w:fldCharType="begin"/>
      </w:r>
      <w:r>
        <w:instrText xml:space="preserve"> ADDIN EN.CITE &lt;EndNote&gt;&lt;Cite&gt;&lt;Author&gt;Karle&lt;/Author&gt;&lt;Year&gt;2010&lt;/Year&gt;&lt;RecNum&gt;1394&lt;/RecNum&gt;&lt;DisplayText&gt;Ibid.&lt;/DisplayText&gt;&lt;record&gt;&lt;rec-number&gt;1394&lt;/rec-number&gt;&lt;foreign-keys&gt;&lt;key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Ibid.</w:t>
      </w:r>
      <w:r>
        <w:fldChar w:fldCharType="end"/>
      </w:r>
      <w:r>
        <w:t>, 137.</w:t>
      </w:r>
    </w:p>
  </w:footnote>
  <w:footnote w:id="21">
    <w:p w14:paraId="7C395DDB" w14:textId="77777777" w:rsidR="00425AC6" w:rsidRDefault="00425AC6" w:rsidP="00E62E9C">
      <w:pPr>
        <w:pStyle w:val="Funotentext"/>
      </w:pPr>
      <w:r>
        <w:rPr>
          <w:rStyle w:val="Funotenzeichen"/>
        </w:rPr>
        <w:footnoteRef/>
      </w:r>
      <w:r>
        <w:t xml:space="preserve"> </w:t>
      </w:r>
      <w:r>
        <w:fldChar w:fldCharType="begin"/>
      </w:r>
      <w:r>
        <w:instrText xml:space="preserve"> ADDIN EN.CITE &lt;EndNote&gt;&lt;Cite&gt;&lt;Author&gt;Karle&lt;/Author&gt;&lt;Year&gt;2010&lt;/Year&gt;&lt;RecNum&gt;1394&lt;/RecNum&gt;&lt;DisplayText&gt;Ibid.&lt;/DisplayText&gt;&lt;record&gt;&lt;rec-number&gt;1394&lt;/rec-number&gt;&lt;foreign-keys&gt;&lt;key app="EN" db-id="0t0dxv9vetdatmef0a959d9wdwf995aa9dxw"&gt;1394&lt;/key&gt;&lt;/foreign-keys&gt;&lt;ref-type name="Book"&gt;6&lt;/ref-type&gt;&lt;contributors&gt;&lt;authors&gt;&lt;author&gt;Isolde Karle&lt;/author&gt;&lt;/authors&gt;&lt;/contributors&gt;&lt;titles&gt;&lt;title&gt;Kirche im Reformstress&lt;/title&gt;&lt;/titles&gt;&lt;keywords&gt;&lt;keyword&gt;Gemeindeaufbau, Pfarrer, Pastoralthologie, Mission, Reform, Marketing, BWL, Kirche der Freiheit, Unverfügbares, Methode, Planung, Geist, SGM&lt;/keyword&gt;&lt;/keywords&gt;&lt;dates&gt;&lt;year&gt;2010&lt;/year&gt;&lt;/dates&gt;&lt;pub-location&gt;Gütersloh&lt;/pub-location&gt;&lt;urls&gt;&lt;/urls&gt;&lt;/record&gt;&lt;/Cite&gt;&lt;/EndNote&gt;</w:instrText>
      </w:r>
      <w:r>
        <w:fldChar w:fldCharType="separate"/>
      </w:r>
      <w:r>
        <w:rPr>
          <w:noProof/>
        </w:rPr>
        <w:t>Ibid.</w:t>
      </w:r>
      <w:r>
        <w:fldChar w:fldCharType="end"/>
      </w:r>
      <w:r>
        <w:t>, 78.</w:t>
      </w:r>
    </w:p>
  </w:footnote>
  <w:footnote w:id="22">
    <w:p w14:paraId="767E0A8B" w14:textId="19170391" w:rsidR="00425AC6" w:rsidRDefault="00425AC6" w:rsidP="00E62E9C">
      <w:pPr>
        <w:pStyle w:val="Funotentext"/>
      </w:pPr>
      <w:r>
        <w:rPr>
          <w:rStyle w:val="Funotenzeichen"/>
        </w:rPr>
        <w:footnoteRef/>
      </w:r>
      <w:r>
        <w:t xml:space="preserve"> </w:t>
      </w:r>
      <w:hyperlink r:id="rId2" w:history="1">
        <w:r w:rsidRPr="0041352F">
          <w:rPr>
            <w:rStyle w:val="Link"/>
          </w:rPr>
          <w:t>http://www.kirchenreform.net/12-thesen-zur-kirchenreform.html</w:t>
        </w:r>
      </w:hyperlink>
      <w:r>
        <w:t xml:space="preserve"> – aufgesucht am 14. November 2012.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41D9B" w14:textId="77777777" w:rsidR="00425AC6" w:rsidRDefault="00425AC6">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73D6B534" wp14:editId="0EF2795D">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6D6B2" w14:textId="77777777" w:rsidR="00425AC6" w:rsidRDefault="00425A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0686D6B2" w14:textId="77777777" w:rsidR="00425AC6" w:rsidRDefault="00425AC6"/>
                </w:txbxContent>
              </v:textbox>
            </v:shape>
          </w:pict>
        </mc:Fallback>
      </mc:AlternateContent>
    </w:r>
    <w:r>
      <w:rPr>
        <w:noProof/>
        <w:lang w:eastAsia="de-DE"/>
      </w:rPr>
      <w:drawing>
        <wp:anchor distT="0" distB="0" distL="114300" distR="114300" simplePos="0" relativeHeight="251656704" behindDoc="1" locked="0" layoutInCell="1" allowOverlap="1" wp14:anchorId="0726A6CD" wp14:editId="70D9BAE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6BE4CF44" wp14:editId="43F05452">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1460932F" w14:textId="77777777" w:rsidR="00425AC6" w:rsidRPr="00892CF7" w:rsidRDefault="00425AC6">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2DE2594"/>
    <w:multiLevelType w:val="hybridMultilevel"/>
    <w:tmpl w:val="56067E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0F6D09B4"/>
    <w:multiLevelType w:val="hybridMultilevel"/>
    <w:tmpl w:val="042EBFB2"/>
    <w:lvl w:ilvl="0" w:tplc="4FD65B72">
      <w:start w:val="7"/>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9">
    <w:nsid w:val="127D0635"/>
    <w:multiLevelType w:val="hybridMultilevel"/>
    <w:tmpl w:val="B6EE3E18"/>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3F728DE"/>
    <w:multiLevelType w:val="hybridMultilevel"/>
    <w:tmpl w:val="2792548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36227BB"/>
    <w:multiLevelType w:val="hybridMultilevel"/>
    <w:tmpl w:val="DF8A50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4AF164F"/>
    <w:multiLevelType w:val="hybridMultilevel"/>
    <w:tmpl w:val="2954BF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DEB4F95"/>
    <w:multiLevelType w:val="hybridMultilevel"/>
    <w:tmpl w:val="B756E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76C6D46"/>
    <w:multiLevelType w:val="hybridMultilevel"/>
    <w:tmpl w:val="AEA2EE22"/>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7">
    <w:nsid w:val="3C622BB8"/>
    <w:multiLevelType w:val="hybridMultilevel"/>
    <w:tmpl w:val="BF2C7C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E921B63"/>
    <w:multiLevelType w:val="hybridMultilevel"/>
    <w:tmpl w:val="A3743A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F7F23D6"/>
    <w:multiLevelType w:val="hybridMultilevel"/>
    <w:tmpl w:val="02A0F24C"/>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22">
    <w:nsid w:val="4BE96AA5"/>
    <w:multiLevelType w:val="hybridMultilevel"/>
    <w:tmpl w:val="FAE4C988"/>
    <w:lvl w:ilvl="0" w:tplc="CA94427E">
      <w:start w:val="6"/>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4AB5AAF"/>
    <w:multiLevelType w:val="hybridMultilevel"/>
    <w:tmpl w:val="7ED677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41C4F5B"/>
    <w:multiLevelType w:val="hybridMultilevel"/>
    <w:tmpl w:val="4320A98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8A37AD0"/>
    <w:multiLevelType w:val="hybridMultilevel"/>
    <w:tmpl w:val="94785C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BBC5AED"/>
    <w:multiLevelType w:val="hybridMultilevel"/>
    <w:tmpl w:val="0C346A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C11149F"/>
    <w:multiLevelType w:val="hybridMultilevel"/>
    <w:tmpl w:val="17D467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DD43632"/>
    <w:multiLevelType w:val="hybridMultilevel"/>
    <w:tmpl w:val="79623C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E526B76"/>
    <w:multiLevelType w:val="hybridMultilevel"/>
    <w:tmpl w:val="C7582A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0"/>
  </w:num>
  <w:num w:numId="4">
    <w:abstractNumId w:val="3"/>
  </w:num>
  <w:num w:numId="5">
    <w:abstractNumId w:val="2"/>
  </w:num>
  <w:num w:numId="6">
    <w:abstractNumId w:val="1"/>
  </w:num>
  <w:num w:numId="7">
    <w:abstractNumId w:val="0"/>
  </w:num>
  <w:num w:numId="8">
    <w:abstractNumId w:val="21"/>
  </w:num>
  <w:num w:numId="9">
    <w:abstractNumId w:val="8"/>
  </w:num>
  <w:num w:numId="10">
    <w:abstractNumId w:val="26"/>
  </w:num>
  <w:num w:numId="11">
    <w:abstractNumId w:val="5"/>
  </w:num>
  <w:num w:numId="12">
    <w:abstractNumId w:val="30"/>
  </w:num>
  <w:num w:numId="13">
    <w:abstractNumId w:val="14"/>
  </w:num>
  <w:num w:numId="14">
    <w:abstractNumId w:val="27"/>
  </w:num>
  <w:num w:numId="15">
    <w:abstractNumId w:val="28"/>
  </w:num>
  <w:num w:numId="16">
    <w:abstractNumId w:val="22"/>
  </w:num>
  <w:num w:numId="17">
    <w:abstractNumId w:val="7"/>
  </w:num>
  <w:num w:numId="18">
    <w:abstractNumId w:val="23"/>
  </w:num>
  <w:num w:numId="19">
    <w:abstractNumId w:val="12"/>
  </w:num>
  <w:num w:numId="20">
    <w:abstractNumId w:val="9"/>
  </w:num>
  <w:num w:numId="21">
    <w:abstractNumId w:val="29"/>
  </w:num>
  <w:num w:numId="22">
    <w:abstractNumId w:val="18"/>
  </w:num>
  <w:num w:numId="23">
    <w:abstractNumId w:val="25"/>
  </w:num>
  <w:num w:numId="24">
    <w:abstractNumId w:val="11"/>
  </w:num>
  <w:num w:numId="25">
    <w:abstractNumId w:val="4"/>
  </w:num>
  <w:num w:numId="26">
    <w:abstractNumId w:val="10"/>
  </w:num>
  <w:num w:numId="27">
    <w:abstractNumId w:val="17"/>
  </w:num>
  <w:num w:numId="28">
    <w:abstractNumId w:val="13"/>
  </w:num>
  <w:num w:numId="29">
    <w:abstractNumId w:val="15"/>
  </w:num>
  <w:num w:numId="30">
    <w:abstractNumId w:val="24"/>
  </w:num>
  <w:num w:numId="3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6256"/>
    <w:rsid w:val="000570AB"/>
    <w:rsid w:val="00057140"/>
    <w:rsid w:val="000578AC"/>
    <w:rsid w:val="000609F8"/>
    <w:rsid w:val="00060FD3"/>
    <w:rsid w:val="00061C59"/>
    <w:rsid w:val="0006260B"/>
    <w:rsid w:val="00063778"/>
    <w:rsid w:val="00063EED"/>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C1E93"/>
    <w:rsid w:val="000C279F"/>
    <w:rsid w:val="000C2AE0"/>
    <w:rsid w:val="000C350F"/>
    <w:rsid w:val="000C473F"/>
    <w:rsid w:val="000C4A1C"/>
    <w:rsid w:val="000C6111"/>
    <w:rsid w:val="000C69CC"/>
    <w:rsid w:val="000C731A"/>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494A"/>
    <w:rsid w:val="000E4977"/>
    <w:rsid w:val="000E4BC8"/>
    <w:rsid w:val="000E4E90"/>
    <w:rsid w:val="000E7200"/>
    <w:rsid w:val="000F02FC"/>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AAF"/>
    <w:rsid w:val="00126D67"/>
    <w:rsid w:val="001276CD"/>
    <w:rsid w:val="00127793"/>
    <w:rsid w:val="0012786F"/>
    <w:rsid w:val="0013000B"/>
    <w:rsid w:val="001301A3"/>
    <w:rsid w:val="001318BF"/>
    <w:rsid w:val="00132633"/>
    <w:rsid w:val="00134204"/>
    <w:rsid w:val="00134F8E"/>
    <w:rsid w:val="001351DC"/>
    <w:rsid w:val="0013541C"/>
    <w:rsid w:val="00136609"/>
    <w:rsid w:val="001401D2"/>
    <w:rsid w:val="0014076A"/>
    <w:rsid w:val="00140AC5"/>
    <w:rsid w:val="00140FE3"/>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76B"/>
    <w:rsid w:val="001E1A47"/>
    <w:rsid w:val="001E23B7"/>
    <w:rsid w:val="001E280D"/>
    <w:rsid w:val="001E28CD"/>
    <w:rsid w:val="001E3193"/>
    <w:rsid w:val="001E3C91"/>
    <w:rsid w:val="001E6378"/>
    <w:rsid w:val="001E674D"/>
    <w:rsid w:val="001E6844"/>
    <w:rsid w:val="001E69CE"/>
    <w:rsid w:val="001F02AA"/>
    <w:rsid w:val="001F060E"/>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35A"/>
    <w:rsid w:val="0024285F"/>
    <w:rsid w:val="00242D70"/>
    <w:rsid w:val="00244137"/>
    <w:rsid w:val="0024431D"/>
    <w:rsid w:val="00244667"/>
    <w:rsid w:val="00244EF6"/>
    <w:rsid w:val="00247380"/>
    <w:rsid w:val="00247825"/>
    <w:rsid w:val="00250171"/>
    <w:rsid w:val="00250C61"/>
    <w:rsid w:val="00250EA8"/>
    <w:rsid w:val="00254DB5"/>
    <w:rsid w:val="002570E5"/>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4620"/>
    <w:rsid w:val="00284E44"/>
    <w:rsid w:val="00284F96"/>
    <w:rsid w:val="0028545B"/>
    <w:rsid w:val="00286169"/>
    <w:rsid w:val="00286D75"/>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91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443"/>
    <w:rsid w:val="00333A03"/>
    <w:rsid w:val="00334329"/>
    <w:rsid w:val="003347BD"/>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E0C"/>
    <w:rsid w:val="0035489F"/>
    <w:rsid w:val="0035645C"/>
    <w:rsid w:val="0035668F"/>
    <w:rsid w:val="00356719"/>
    <w:rsid w:val="003575A6"/>
    <w:rsid w:val="0035763D"/>
    <w:rsid w:val="00360728"/>
    <w:rsid w:val="003607A0"/>
    <w:rsid w:val="003607DC"/>
    <w:rsid w:val="00360E1F"/>
    <w:rsid w:val="003615F3"/>
    <w:rsid w:val="00362449"/>
    <w:rsid w:val="0036397B"/>
    <w:rsid w:val="00363D59"/>
    <w:rsid w:val="003641BD"/>
    <w:rsid w:val="00364917"/>
    <w:rsid w:val="003672A7"/>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0F89"/>
    <w:rsid w:val="0039125D"/>
    <w:rsid w:val="0039151C"/>
    <w:rsid w:val="00392F27"/>
    <w:rsid w:val="003930DD"/>
    <w:rsid w:val="00393A56"/>
    <w:rsid w:val="00393BAE"/>
    <w:rsid w:val="003941F0"/>
    <w:rsid w:val="00395EAE"/>
    <w:rsid w:val="0039680C"/>
    <w:rsid w:val="00396DA3"/>
    <w:rsid w:val="003977CF"/>
    <w:rsid w:val="003A037A"/>
    <w:rsid w:val="003A066A"/>
    <w:rsid w:val="003A10D1"/>
    <w:rsid w:val="003A3636"/>
    <w:rsid w:val="003A3FE7"/>
    <w:rsid w:val="003A3FF5"/>
    <w:rsid w:val="003A4571"/>
    <w:rsid w:val="003A4A96"/>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64B"/>
    <w:rsid w:val="003E5CD8"/>
    <w:rsid w:val="003E623B"/>
    <w:rsid w:val="003E6963"/>
    <w:rsid w:val="003E7641"/>
    <w:rsid w:val="003E766C"/>
    <w:rsid w:val="003E7D0F"/>
    <w:rsid w:val="003E7DA2"/>
    <w:rsid w:val="003E7EEC"/>
    <w:rsid w:val="003F0D66"/>
    <w:rsid w:val="003F15AF"/>
    <w:rsid w:val="003F1612"/>
    <w:rsid w:val="003F1E63"/>
    <w:rsid w:val="003F2684"/>
    <w:rsid w:val="003F5231"/>
    <w:rsid w:val="003F53D3"/>
    <w:rsid w:val="003F5737"/>
    <w:rsid w:val="003F75E0"/>
    <w:rsid w:val="00400630"/>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5A56"/>
    <w:rsid w:val="004163BD"/>
    <w:rsid w:val="00416554"/>
    <w:rsid w:val="00416CF2"/>
    <w:rsid w:val="00416D9F"/>
    <w:rsid w:val="0041702F"/>
    <w:rsid w:val="0041752B"/>
    <w:rsid w:val="00417571"/>
    <w:rsid w:val="00421891"/>
    <w:rsid w:val="00421CF7"/>
    <w:rsid w:val="00422FA3"/>
    <w:rsid w:val="004241A5"/>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6F9C"/>
    <w:rsid w:val="00487481"/>
    <w:rsid w:val="00490495"/>
    <w:rsid w:val="00490F36"/>
    <w:rsid w:val="0049129D"/>
    <w:rsid w:val="004917F8"/>
    <w:rsid w:val="0049238A"/>
    <w:rsid w:val="0049268B"/>
    <w:rsid w:val="00492E50"/>
    <w:rsid w:val="00492FAD"/>
    <w:rsid w:val="004936D7"/>
    <w:rsid w:val="0049466F"/>
    <w:rsid w:val="0049661E"/>
    <w:rsid w:val="00496C54"/>
    <w:rsid w:val="0049798F"/>
    <w:rsid w:val="004A0EBB"/>
    <w:rsid w:val="004A1537"/>
    <w:rsid w:val="004A15DD"/>
    <w:rsid w:val="004A1839"/>
    <w:rsid w:val="004A1AC2"/>
    <w:rsid w:val="004A1B2A"/>
    <w:rsid w:val="004A21C1"/>
    <w:rsid w:val="004A2B4F"/>
    <w:rsid w:val="004A3078"/>
    <w:rsid w:val="004A4507"/>
    <w:rsid w:val="004A6262"/>
    <w:rsid w:val="004A774C"/>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0910"/>
    <w:rsid w:val="0050122E"/>
    <w:rsid w:val="00502A49"/>
    <w:rsid w:val="0050303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543"/>
    <w:rsid w:val="005B6807"/>
    <w:rsid w:val="005B7781"/>
    <w:rsid w:val="005B7972"/>
    <w:rsid w:val="005C0A19"/>
    <w:rsid w:val="005C16EE"/>
    <w:rsid w:val="005C2C57"/>
    <w:rsid w:val="005C3C96"/>
    <w:rsid w:val="005C565D"/>
    <w:rsid w:val="005C57FA"/>
    <w:rsid w:val="005C5EA6"/>
    <w:rsid w:val="005C6CED"/>
    <w:rsid w:val="005D05FE"/>
    <w:rsid w:val="005D1CBE"/>
    <w:rsid w:val="005D2572"/>
    <w:rsid w:val="005D3C0B"/>
    <w:rsid w:val="005D5586"/>
    <w:rsid w:val="005D615E"/>
    <w:rsid w:val="005D6589"/>
    <w:rsid w:val="005D73AB"/>
    <w:rsid w:val="005D7630"/>
    <w:rsid w:val="005E0A2C"/>
    <w:rsid w:val="005E0D08"/>
    <w:rsid w:val="005E35F2"/>
    <w:rsid w:val="005E3B22"/>
    <w:rsid w:val="005E4652"/>
    <w:rsid w:val="005E68B4"/>
    <w:rsid w:val="005E7651"/>
    <w:rsid w:val="005E792D"/>
    <w:rsid w:val="005E7DC5"/>
    <w:rsid w:val="005F087F"/>
    <w:rsid w:val="005F141F"/>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30DB"/>
    <w:rsid w:val="00623699"/>
    <w:rsid w:val="0062381D"/>
    <w:rsid w:val="00623C41"/>
    <w:rsid w:val="0062549A"/>
    <w:rsid w:val="00625C99"/>
    <w:rsid w:val="006263A8"/>
    <w:rsid w:val="006267DC"/>
    <w:rsid w:val="006277D2"/>
    <w:rsid w:val="00630C0C"/>
    <w:rsid w:val="00632941"/>
    <w:rsid w:val="006340F3"/>
    <w:rsid w:val="006343F8"/>
    <w:rsid w:val="006348F5"/>
    <w:rsid w:val="00634A0F"/>
    <w:rsid w:val="00634DA1"/>
    <w:rsid w:val="00636E0F"/>
    <w:rsid w:val="006372E9"/>
    <w:rsid w:val="00637692"/>
    <w:rsid w:val="00637A15"/>
    <w:rsid w:val="00637BA9"/>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4EB4"/>
    <w:rsid w:val="006652CC"/>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E0529"/>
    <w:rsid w:val="006E0986"/>
    <w:rsid w:val="006E0AA3"/>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1BC4"/>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0689"/>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B096C"/>
    <w:rsid w:val="007B1509"/>
    <w:rsid w:val="007B1768"/>
    <w:rsid w:val="007B1C08"/>
    <w:rsid w:val="007B2093"/>
    <w:rsid w:val="007B29CB"/>
    <w:rsid w:val="007B2CFB"/>
    <w:rsid w:val="007B3289"/>
    <w:rsid w:val="007B3972"/>
    <w:rsid w:val="007B39AA"/>
    <w:rsid w:val="007B4D86"/>
    <w:rsid w:val="007B5043"/>
    <w:rsid w:val="007B5059"/>
    <w:rsid w:val="007B79DC"/>
    <w:rsid w:val="007C00F9"/>
    <w:rsid w:val="007C012D"/>
    <w:rsid w:val="007C1DDF"/>
    <w:rsid w:val="007C2BD1"/>
    <w:rsid w:val="007C3299"/>
    <w:rsid w:val="007C367B"/>
    <w:rsid w:val="007C3D9A"/>
    <w:rsid w:val="007C427E"/>
    <w:rsid w:val="007C42E2"/>
    <w:rsid w:val="007C4548"/>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37B"/>
    <w:rsid w:val="007E638E"/>
    <w:rsid w:val="007E6ACE"/>
    <w:rsid w:val="007E6BE6"/>
    <w:rsid w:val="007E798E"/>
    <w:rsid w:val="007F015D"/>
    <w:rsid w:val="007F0DC3"/>
    <w:rsid w:val="007F19D3"/>
    <w:rsid w:val="007F2015"/>
    <w:rsid w:val="007F2AA5"/>
    <w:rsid w:val="007F4154"/>
    <w:rsid w:val="007F465A"/>
    <w:rsid w:val="007F480F"/>
    <w:rsid w:val="007F4C9F"/>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5E61"/>
    <w:rsid w:val="008162F3"/>
    <w:rsid w:val="008218D4"/>
    <w:rsid w:val="00822159"/>
    <w:rsid w:val="0082269C"/>
    <w:rsid w:val="008228D2"/>
    <w:rsid w:val="00823CC7"/>
    <w:rsid w:val="008246C6"/>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2390"/>
    <w:rsid w:val="008440A3"/>
    <w:rsid w:val="00844484"/>
    <w:rsid w:val="00844AB1"/>
    <w:rsid w:val="00844B99"/>
    <w:rsid w:val="0084540C"/>
    <w:rsid w:val="00845637"/>
    <w:rsid w:val="00845E45"/>
    <w:rsid w:val="008475D9"/>
    <w:rsid w:val="008505BE"/>
    <w:rsid w:val="00850B20"/>
    <w:rsid w:val="00851A61"/>
    <w:rsid w:val="00851E54"/>
    <w:rsid w:val="00851FFA"/>
    <w:rsid w:val="008538D5"/>
    <w:rsid w:val="00854543"/>
    <w:rsid w:val="00854A18"/>
    <w:rsid w:val="008556F0"/>
    <w:rsid w:val="00855B74"/>
    <w:rsid w:val="00856CE7"/>
    <w:rsid w:val="00857116"/>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F7F"/>
    <w:rsid w:val="00875A5C"/>
    <w:rsid w:val="00880231"/>
    <w:rsid w:val="0088368C"/>
    <w:rsid w:val="00884946"/>
    <w:rsid w:val="0088677B"/>
    <w:rsid w:val="00887E5D"/>
    <w:rsid w:val="0089100E"/>
    <w:rsid w:val="00893271"/>
    <w:rsid w:val="0089434F"/>
    <w:rsid w:val="008943C0"/>
    <w:rsid w:val="0089459F"/>
    <w:rsid w:val="00894AC6"/>
    <w:rsid w:val="00894B51"/>
    <w:rsid w:val="00894FDA"/>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F0459"/>
    <w:rsid w:val="008F05A9"/>
    <w:rsid w:val="008F1010"/>
    <w:rsid w:val="008F2177"/>
    <w:rsid w:val="008F2CE0"/>
    <w:rsid w:val="008F4522"/>
    <w:rsid w:val="008F49D4"/>
    <w:rsid w:val="008F4AA6"/>
    <w:rsid w:val="008F5C70"/>
    <w:rsid w:val="008F6DD6"/>
    <w:rsid w:val="008F7E37"/>
    <w:rsid w:val="009001C3"/>
    <w:rsid w:val="00902DD7"/>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2EC8"/>
    <w:rsid w:val="009438E3"/>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A0B13"/>
    <w:rsid w:val="009A105D"/>
    <w:rsid w:val="009A1642"/>
    <w:rsid w:val="009A1875"/>
    <w:rsid w:val="009A18F5"/>
    <w:rsid w:val="009A1E16"/>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F0D71"/>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C00A7"/>
    <w:rsid w:val="00AC05CD"/>
    <w:rsid w:val="00AC15DF"/>
    <w:rsid w:val="00AC191F"/>
    <w:rsid w:val="00AC1C86"/>
    <w:rsid w:val="00AC1D88"/>
    <w:rsid w:val="00AC3065"/>
    <w:rsid w:val="00AC3220"/>
    <w:rsid w:val="00AC3964"/>
    <w:rsid w:val="00AC39B9"/>
    <w:rsid w:val="00AC3B9C"/>
    <w:rsid w:val="00AC47E9"/>
    <w:rsid w:val="00AC4BAB"/>
    <w:rsid w:val="00AC5260"/>
    <w:rsid w:val="00AD08FD"/>
    <w:rsid w:val="00AD0919"/>
    <w:rsid w:val="00AD161A"/>
    <w:rsid w:val="00AD176A"/>
    <w:rsid w:val="00AD19E9"/>
    <w:rsid w:val="00AD6D8E"/>
    <w:rsid w:val="00AD71EA"/>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4CE"/>
    <w:rsid w:val="00AF0B56"/>
    <w:rsid w:val="00AF1097"/>
    <w:rsid w:val="00AF2703"/>
    <w:rsid w:val="00AF335D"/>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21A69"/>
    <w:rsid w:val="00B2247B"/>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34B8"/>
    <w:rsid w:val="00B55C9D"/>
    <w:rsid w:val="00B56525"/>
    <w:rsid w:val="00B56864"/>
    <w:rsid w:val="00B56EAC"/>
    <w:rsid w:val="00B575B1"/>
    <w:rsid w:val="00B5772C"/>
    <w:rsid w:val="00B605DF"/>
    <w:rsid w:val="00B606A7"/>
    <w:rsid w:val="00B60716"/>
    <w:rsid w:val="00B61466"/>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9FD"/>
    <w:rsid w:val="00BA7EFB"/>
    <w:rsid w:val="00BB060D"/>
    <w:rsid w:val="00BB0AE6"/>
    <w:rsid w:val="00BB1E1F"/>
    <w:rsid w:val="00BB373E"/>
    <w:rsid w:val="00BB3B2D"/>
    <w:rsid w:val="00BB3B86"/>
    <w:rsid w:val="00BC002F"/>
    <w:rsid w:val="00BC0093"/>
    <w:rsid w:val="00BC083F"/>
    <w:rsid w:val="00BC0B50"/>
    <w:rsid w:val="00BC1B97"/>
    <w:rsid w:val="00BC2616"/>
    <w:rsid w:val="00BC30DF"/>
    <w:rsid w:val="00BC424F"/>
    <w:rsid w:val="00BC45C7"/>
    <w:rsid w:val="00BC52A6"/>
    <w:rsid w:val="00BC7FDB"/>
    <w:rsid w:val="00BD020E"/>
    <w:rsid w:val="00BD0F56"/>
    <w:rsid w:val="00BD0FDF"/>
    <w:rsid w:val="00BD17F7"/>
    <w:rsid w:val="00BD1EAE"/>
    <w:rsid w:val="00BD28D1"/>
    <w:rsid w:val="00BD38C2"/>
    <w:rsid w:val="00BD4C72"/>
    <w:rsid w:val="00BD4D1A"/>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57E2"/>
    <w:rsid w:val="00C3708D"/>
    <w:rsid w:val="00C37C3E"/>
    <w:rsid w:val="00C40518"/>
    <w:rsid w:val="00C4315A"/>
    <w:rsid w:val="00C43298"/>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F6C"/>
    <w:rsid w:val="00C74FF9"/>
    <w:rsid w:val="00C753CB"/>
    <w:rsid w:val="00C76A63"/>
    <w:rsid w:val="00C77613"/>
    <w:rsid w:val="00C8043D"/>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A73"/>
    <w:rsid w:val="00C95CD9"/>
    <w:rsid w:val="00C96EC9"/>
    <w:rsid w:val="00C9748A"/>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F9"/>
    <w:rsid w:val="00CB7FD0"/>
    <w:rsid w:val="00CC0071"/>
    <w:rsid w:val="00CC0CE8"/>
    <w:rsid w:val="00CC1C3A"/>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5797"/>
    <w:rsid w:val="00CD6209"/>
    <w:rsid w:val="00CD7B59"/>
    <w:rsid w:val="00CD7C52"/>
    <w:rsid w:val="00CE4150"/>
    <w:rsid w:val="00CE458E"/>
    <w:rsid w:val="00CE4D5C"/>
    <w:rsid w:val="00CE4F05"/>
    <w:rsid w:val="00CE53AA"/>
    <w:rsid w:val="00CE552B"/>
    <w:rsid w:val="00CE6E38"/>
    <w:rsid w:val="00CE6F0F"/>
    <w:rsid w:val="00CF0A57"/>
    <w:rsid w:val="00CF0B56"/>
    <w:rsid w:val="00CF1A4A"/>
    <w:rsid w:val="00CF1A60"/>
    <w:rsid w:val="00CF2A98"/>
    <w:rsid w:val="00CF3086"/>
    <w:rsid w:val="00CF3552"/>
    <w:rsid w:val="00CF5478"/>
    <w:rsid w:val="00CF551A"/>
    <w:rsid w:val="00CF7F00"/>
    <w:rsid w:val="00D00B8F"/>
    <w:rsid w:val="00D015B5"/>
    <w:rsid w:val="00D01D4E"/>
    <w:rsid w:val="00D0272D"/>
    <w:rsid w:val="00D031CB"/>
    <w:rsid w:val="00D031DB"/>
    <w:rsid w:val="00D060DB"/>
    <w:rsid w:val="00D07D20"/>
    <w:rsid w:val="00D110D4"/>
    <w:rsid w:val="00D12C91"/>
    <w:rsid w:val="00D13018"/>
    <w:rsid w:val="00D13A3F"/>
    <w:rsid w:val="00D15356"/>
    <w:rsid w:val="00D15D6A"/>
    <w:rsid w:val="00D16AB8"/>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6080B"/>
    <w:rsid w:val="00D623C6"/>
    <w:rsid w:val="00D62B2C"/>
    <w:rsid w:val="00D6314B"/>
    <w:rsid w:val="00D647F3"/>
    <w:rsid w:val="00D64910"/>
    <w:rsid w:val="00D64BAA"/>
    <w:rsid w:val="00D64FF9"/>
    <w:rsid w:val="00D65A35"/>
    <w:rsid w:val="00D700A0"/>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525E"/>
    <w:rsid w:val="00D95291"/>
    <w:rsid w:val="00D959BB"/>
    <w:rsid w:val="00D963B2"/>
    <w:rsid w:val="00D964A9"/>
    <w:rsid w:val="00DA103F"/>
    <w:rsid w:val="00DA1D83"/>
    <w:rsid w:val="00DA1E4E"/>
    <w:rsid w:val="00DA5574"/>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E02B6"/>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E7807"/>
    <w:rsid w:val="00DF047D"/>
    <w:rsid w:val="00DF0C66"/>
    <w:rsid w:val="00DF173B"/>
    <w:rsid w:val="00DF23DF"/>
    <w:rsid w:val="00DF3860"/>
    <w:rsid w:val="00DF3911"/>
    <w:rsid w:val="00DF3C4D"/>
    <w:rsid w:val="00DF5E4F"/>
    <w:rsid w:val="00DF7472"/>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1F4C"/>
    <w:rsid w:val="00E2327E"/>
    <w:rsid w:val="00E24BEF"/>
    <w:rsid w:val="00E2557B"/>
    <w:rsid w:val="00E271E9"/>
    <w:rsid w:val="00E31B05"/>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22AA"/>
    <w:rsid w:val="00E52EDB"/>
    <w:rsid w:val="00E537C2"/>
    <w:rsid w:val="00E53899"/>
    <w:rsid w:val="00E556EA"/>
    <w:rsid w:val="00E56B34"/>
    <w:rsid w:val="00E57176"/>
    <w:rsid w:val="00E57759"/>
    <w:rsid w:val="00E57A42"/>
    <w:rsid w:val="00E6021E"/>
    <w:rsid w:val="00E61F54"/>
    <w:rsid w:val="00E62201"/>
    <w:rsid w:val="00E6240B"/>
    <w:rsid w:val="00E6282F"/>
    <w:rsid w:val="00E62E9C"/>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F69"/>
    <w:rsid w:val="00ED4365"/>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7CB"/>
    <w:rsid w:val="00F07E41"/>
    <w:rsid w:val="00F103E4"/>
    <w:rsid w:val="00F104EC"/>
    <w:rsid w:val="00F10996"/>
    <w:rsid w:val="00F10DCD"/>
    <w:rsid w:val="00F1159E"/>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AF9"/>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4B02"/>
    <w:rsid w:val="00F54EE7"/>
    <w:rsid w:val="00F56BFC"/>
    <w:rsid w:val="00F603A9"/>
    <w:rsid w:val="00F64F3B"/>
    <w:rsid w:val="00F6679D"/>
    <w:rsid w:val="00F71AAF"/>
    <w:rsid w:val="00F729E0"/>
    <w:rsid w:val="00F72C80"/>
    <w:rsid w:val="00F737A5"/>
    <w:rsid w:val="00F73D84"/>
    <w:rsid w:val="00F75535"/>
    <w:rsid w:val="00F75F12"/>
    <w:rsid w:val="00F76483"/>
    <w:rsid w:val="00F76A98"/>
    <w:rsid w:val="00F7758C"/>
    <w:rsid w:val="00F7794E"/>
    <w:rsid w:val="00F8000E"/>
    <w:rsid w:val="00F800EE"/>
    <w:rsid w:val="00F80A82"/>
    <w:rsid w:val="00F81A79"/>
    <w:rsid w:val="00F822D2"/>
    <w:rsid w:val="00F830A0"/>
    <w:rsid w:val="00F83128"/>
    <w:rsid w:val="00F83483"/>
    <w:rsid w:val="00F84535"/>
    <w:rsid w:val="00F85482"/>
    <w:rsid w:val="00F855E7"/>
    <w:rsid w:val="00F864C1"/>
    <w:rsid w:val="00F86710"/>
    <w:rsid w:val="00F86B46"/>
    <w:rsid w:val="00F86D7E"/>
    <w:rsid w:val="00F8777C"/>
    <w:rsid w:val="00F901B9"/>
    <w:rsid w:val="00F90914"/>
    <w:rsid w:val="00F90BBD"/>
    <w:rsid w:val="00F90E8B"/>
    <w:rsid w:val="00F91261"/>
    <w:rsid w:val="00F91897"/>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7E19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3"/>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3"/>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3"/>
      </w:numPr>
    </w:pPr>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3"/>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3"/>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3"/>
      </w:numPr>
    </w:pPr>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kirchenreform.net/12-thesen-zur-kirchenreform.html" TargetMode="External"/><Relationship Id="rId2" Type="http://schemas.openxmlformats.org/officeDocument/2006/relationships/hyperlink" Target="http://www.kirchenreform.net/12-thesen-zur-kirchenreform.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9</Pages>
  <Words>2512</Words>
  <Characters>15828</Characters>
  <Application>Microsoft Macintosh Word</Application>
  <DocSecurity>0</DocSecurity>
  <Lines>131</Lines>
  <Paragraphs>36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18304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31</cp:revision>
  <cp:lastPrinted>2012-10-18T11:03:00Z</cp:lastPrinted>
  <dcterms:created xsi:type="dcterms:W3CDTF">2012-11-15T12:03:00Z</dcterms:created>
  <dcterms:modified xsi:type="dcterms:W3CDTF">2012-11-16T14:32:00Z</dcterms:modified>
</cp:coreProperties>
</file>