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26B24"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141EFA6B" wp14:editId="0379A42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67852303" w14:textId="77777777" w:rsidR="000D11E1" w:rsidRPr="00FA66BD" w:rsidRDefault="000D11E1" w:rsidP="00580EBE">
      <w:pPr>
        <w:rPr>
          <w:rFonts w:asciiTheme="minorHAnsi" w:hAnsiTheme="minorHAnsi"/>
          <w:szCs w:val="24"/>
        </w:rPr>
      </w:pPr>
    </w:p>
    <w:p w14:paraId="799D093F" w14:textId="77777777" w:rsidR="000D11E1" w:rsidRPr="00FA66BD" w:rsidRDefault="000D11E1" w:rsidP="00580EBE">
      <w:pPr>
        <w:rPr>
          <w:rFonts w:asciiTheme="minorHAnsi" w:hAnsiTheme="minorHAnsi"/>
          <w:szCs w:val="24"/>
        </w:rPr>
      </w:pPr>
    </w:p>
    <w:p w14:paraId="1878A9F4" w14:textId="77777777" w:rsidR="000D11E1" w:rsidRPr="00FA66BD" w:rsidRDefault="000D11E1" w:rsidP="00580EBE">
      <w:pPr>
        <w:rPr>
          <w:rFonts w:asciiTheme="minorHAnsi" w:hAnsiTheme="minorHAnsi"/>
        </w:rPr>
      </w:pPr>
    </w:p>
    <w:p w14:paraId="681CB70D"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6C9B385E" wp14:editId="19CE63F0">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30A75D84"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1FBB6B18"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B538A">
        <w:rPr>
          <w:rFonts w:asciiTheme="minorHAnsi" w:hAnsiTheme="minorHAnsi"/>
          <w:sz w:val="32"/>
          <w:szCs w:val="48"/>
        </w:rPr>
        <w:t>s</w:t>
      </w:r>
      <w:r w:rsidR="007C30FA">
        <w:rPr>
          <w:rFonts w:asciiTheme="minorHAnsi" w:hAnsiTheme="minorHAnsi"/>
          <w:sz w:val="32"/>
          <w:szCs w:val="48"/>
        </w:rPr>
        <w:t>emester 2012-13 (Arbeitsblatt 8</w:t>
      </w:r>
      <w:r w:rsidR="00B65C9D">
        <w:rPr>
          <w:rFonts w:asciiTheme="minorHAnsi" w:hAnsiTheme="minorHAnsi"/>
          <w:sz w:val="32"/>
          <w:szCs w:val="48"/>
        </w:rPr>
        <w:t>)</w:t>
      </w:r>
    </w:p>
    <w:p w14:paraId="74083EE6"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1DDCB659" wp14:editId="374C24BD">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7B61ECD2" w14:textId="77777777" w:rsidR="000D11E1" w:rsidRPr="00FA66BD" w:rsidRDefault="000D11E1" w:rsidP="00580EBE">
      <w:pPr>
        <w:rPr>
          <w:rFonts w:asciiTheme="minorHAnsi" w:hAnsiTheme="minorHAnsi"/>
          <w:sz w:val="12"/>
          <w:szCs w:val="12"/>
        </w:rPr>
      </w:pPr>
    </w:p>
    <w:p w14:paraId="76C72A73"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7C30FA">
        <w:rPr>
          <w:rFonts w:asciiTheme="minorHAnsi" w:hAnsiTheme="minorHAnsi"/>
          <w:sz w:val="28"/>
          <w:szCs w:val="32"/>
        </w:rPr>
        <w:t>7. Dezember</w:t>
      </w:r>
      <w:r w:rsidR="001C6C91">
        <w:rPr>
          <w:rFonts w:asciiTheme="minorHAnsi" w:hAnsiTheme="minorHAnsi"/>
          <w:sz w:val="28"/>
          <w:szCs w:val="32"/>
        </w:rPr>
        <w:t xml:space="preserve"> </w:t>
      </w:r>
      <w:r w:rsidR="009E704F">
        <w:rPr>
          <w:rFonts w:asciiTheme="minorHAnsi" w:hAnsiTheme="minorHAnsi"/>
          <w:sz w:val="28"/>
          <w:szCs w:val="32"/>
        </w:rPr>
        <w:t>2012</w:t>
      </w:r>
    </w:p>
    <w:p w14:paraId="51B468D9" w14:textId="77777777" w:rsidR="0003468F" w:rsidRDefault="0003468F" w:rsidP="008F4AA6">
      <w:pPr>
        <w:pStyle w:val="berschrift1"/>
      </w:pPr>
      <w:bookmarkStart w:id="0" w:name="_Toc211165368"/>
      <w:bookmarkStart w:id="1" w:name="OLE_LINK13"/>
      <w:bookmarkStart w:id="2" w:name="OLE_LINK14"/>
    </w:p>
    <w:p w14:paraId="11273C67" w14:textId="77777777" w:rsidR="0003468F" w:rsidRDefault="0003468F" w:rsidP="008F4AA6">
      <w:pPr>
        <w:pStyle w:val="berschrift1"/>
      </w:pPr>
    </w:p>
    <w:p w14:paraId="294500A7" w14:textId="77777777" w:rsidR="0003468F" w:rsidRDefault="0003468F" w:rsidP="008F4AA6">
      <w:pPr>
        <w:pStyle w:val="berschrift1"/>
      </w:pPr>
    </w:p>
    <w:p w14:paraId="5736DA36" w14:textId="77777777" w:rsidR="00A95299" w:rsidRPr="00A95299" w:rsidRDefault="00D177BB" w:rsidP="00A95299">
      <w:pPr>
        <w:pStyle w:val="berschrift1"/>
        <w:rPr>
          <w:rFonts w:eastAsia="Calibri"/>
          <w:color w:val="auto"/>
          <w:sz w:val="24"/>
          <w:szCs w:val="24"/>
        </w:rPr>
      </w:pPr>
      <w:bookmarkStart w:id="3" w:name="_Toc216454066"/>
      <w:bookmarkEnd w:id="0"/>
      <w:bookmarkEnd w:id="1"/>
      <w:bookmarkEnd w:id="2"/>
      <w:r>
        <w:rPr>
          <w:szCs w:val="24"/>
        </w:rPr>
        <w:t>9. „Wir sind hier doch nicht in Brasilien“ – Mission? Mission!</w:t>
      </w:r>
      <w:bookmarkStart w:id="4" w:name="_Toc216454067"/>
      <w:bookmarkEnd w:id="3"/>
    </w:p>
    <w:p w14:paraId="6E5E37C2" w14:textId="77777777" w:rsidR="00D177BB" w:rsidRDefault="00D177BB" w:rsidP="00D177BB">
      <w:pPr>
        <w:pStyle w:val="berschrift2"/>
        <w:rPr>
          <w:lang w:eastAsia="de-DE"/>
        </w:rPr>
      </w:pPr>
      <w:r>
        <w:rPr>
          <w:lang w:eastAsia="de-DE"/>
        </w:rPr>
        <w:t>9.1 Nicht in Brasilien – oder im Missionsland?</w:t>
      </w:r>
      <w:bookmarkEnd w:id="4"/>
    </w:p>
    <w:p w14:paraId="2F8E0E21" w14:textId="77777777" w:rsidR="00A95299" w:rsidRDefault="00A95299" w:rsidP="00D177BB">
      <w:pPr>
        <w:rPr>
          <w:lang w:eastAsia="de-DE"/>
        </w:rPr>
      </w:pPr>
      <w:r>
        <w:rPr>
          <w:lang w:eastAsia="de-DE"/>
        </w:rPr>
        <w:t>Vorurteile</w:t>
      </w:r>
      <w:r w:rsidR="00816032">
        <w:rPr>
          <w:lang w:eastAsia="de-DE"/>
        </w:rPr>
        <w:t xml:space="preserve"> I</w:t>
      </w:r>
      <w:r>
        <w:rPr>
          <w:lang w:eastAsia="de-DE"/>
        </w:rPr>
        <w:t xml:space="preserve">: </w:t>
      </w:r>
    </w:p>
    <w:p w14:paraId="77C0DD2E" w14:textId="77777777" w:rsidR="00D177BB" w:rsidRDefault="00D177BB" w:rsidP="00D177BB">
      <w:pPr>
        <w:pStyle w:val="Listenabsatz"/>
        <w:numPr>
          <w:ilvl w:val="0"/>
          <w:numId w:val="22"/>
        </w:numPr>
        <w:spacing w:after="200"/>
        <w:rPr>
          <w:lang w:eastAsia="de-DE"/>
        </w:rPr>
      </w:pPr>
      <w:r>
        <w:rPr>
          <w:lang w:eastAsia="de-DE"/>
        </w:rPr>
        <w:t>Mission ist etwas für Bedürftige, und das sind wir doch nicht</w:t>
      </w:r>
      <w:r w:rsidR="00A95299">
        <w:rPr>
          <w:lang w:eastAsia="de-DE"/>
        </w:rPr>
        <w:t>.</w:t>
      </w:r>
    </w:p>
    <w:p w14:paraId="3CF21BB5" w14:textId="77777777" w:rsidR="00D177BB" w:rsidRDefault="00D177BB" w:rsidP="00D177BB">
      <w:pPr>
        <w:pStyle w:val="Listenabsatz"/>
        <w:numPr>
          <w:ilvl w:val="0"/>
          <w:numId w:val="22"/>
        </w:numPr>
        <w:spacing w:after="200"/>
        <w:rPr>
          <w:lang w:eastAsia="de-DE"/>
        </w:rPr>
      </w:pPr>
      <w:r>
        <w:rPr>
          <w:lang w:eastAsia="de-DE"/>
        </w:rPr>
        <w:t>Mission ist etwas für „draußen“: Wir schicken Leute nach Brasilien, damit wir „die da“ miss</w:t>
      </w:r>
      <w:r>
        <w:rPr>
          <w:lang w:eastAsia="de-DE"/>
        </w:rPr>
        <w:t>i</w:t>
      </w:r>
      <w:r>
        <w:rPr>
          <w:lang w:eastAsia="de-DE"/>
        </w:rPr>
        <w:t xml:space="preserve">onieren. Wir sind die Geber, andere draußen die Empfänger. </w:t>
      </w:r>
    </w:p>
    <w:p w14:paraId="2F1DBB1B" w14:textId="77777777" w:rsidR="00A95299" w:rsidRPr="00A95299" w:rsidRDefault="00D177BB" w:rsidP="00A95299">
      <w:pPr>
        <w:ind w:left="284"/>
        <w:rPr>
          <w:i/>
          <w:lang w:eastAsia="de-DE"/>
        </w:rPr>
      </w:pPr>
      <w:r w:rsidRPr="00A95299">
        <w:rPr>
          <w:i/>
          <w:lang w:eastAsia="de-DE"/>
        </w:rPr>
        <w:t>„Deutschland ist Missionsland</w:t>
      </w:r>
      <w:r w:rsidR="00A95299" w:rsidRPr="00A95299">
        <w:rPr>
          <w:i/>
          <w:lang w:eastAsia="de-DE"/>
        </w:rPr>
        <w:t>“</w:t>
      </w:r>
      <w:r w:rsidRPr="00A95299">
        <w:rPr>
          <w:i/>
          <w:lang w:eastAsia="de-DE"/>
        </w:rPr>
        <w:t>.</w:t>
      </w:r>
      <w:r w:rsidR="00A95299" w:rsidRPr="00A95299">
        <w:rPr>
          <w:i/>
          <w:lang w:eastAsia="de-DE"/>
        </w:rPr>
        <w:t xml:space="preserve"> (Gerhard Hilbert, 1917</w:t>
      </w:r>
      <w:r w:rsidRPr="00A95299">
        <w:rPr>
          <w:rStyle w:val="Funotenzeichen"/>
          <w:i/>
          <w:lang w:eastAsia="de-DE"/>
        </w:rPr>
        <w:footnoteReference w:id="1"/>
      </w:r>
      <w:r w:rsidR="00A95299" w:rsidRPr="00A95299">
        <w:rPr>
          <w:i/>
          <w:lang w:eastAsia="de-DE"/>
        </w:rPr>
        <w:t>; Matthias Sellmann, 2004</w:t>
      </w:r>
      <w:r w:rsidR="00A95299" w:rsidRPr="00A95299">
        <w:rPr>
          <w:rStyle w:val="Funotenzeichen"/>
          <w:i/>
          <w:lang w:eastAsia="de-DE"/>
        </w:rPr>
        <w:footnoteReference w:id="2"/>
      </w:r>
      <w:r w:rsidR="00A95299" w:rsidRPr="00A95299">
        <w:rPr>
          <w:i/>
          <w:lang w:eastAsia="de-DE"/>
        </w:rPr>
        <w:t>)</w:t>
      </w:r>
    </w:p>
    <w:p w14:paraId="229FD82C" w14:textId="77777777" w:rsidR="00D177BB" w:rsidRDefault="00D177BB" w:rsidP="00D177BB">
      <w:pPr>
        <w:pStyle w:val="berschrift2"/>
        <w:rPr>
          <w:lang w:eastAsia="de-DE"/>
        </w:rPr>
      </w:pPr>
      <w:bookmarkStart w:id="5" w:name="_Toc216454068"/>
      <w:r>
        <w:rPr>
          <w:lang w:eastAsia="de-DE"/>
        </w:rPr>
        <w:t>9.2 Mission – nein, danke!</w:t>
      </w:r>
      <w:bookmarkEnd w:id="5"/>
    </w:p>
    <w:p w14:paraId="6934CFE5" w14:textId="77777777" w:rsidR="00D177BB" w:rsidRDefault="00D177BB" w:rsidP="00D177BB">
      <w:pPr>
        <w:pStyle w:val="berschrift3"/>
        <w:rPr>
          <w:lang w:eastAsia="de-DE"/>
        </w:rPr>
      </w:pPr>
      <w:bookmarkStart w:id="6" w:name="_Toc216454069"/>
      <w:r>
        <w:rPr>
          <w:lang w:eastAsia="de-DE"/>
        </w:rPr>
        <w:t>9.2.1 „Sind Sie der Missionar?“</w:t>
      </w:r>
      <w:bookmarkEnd w:id="6"/>
      <w:r>
        <w:rPr>
          <w:lang w:eastAsia="de-DE"/>
        </w:rPr>
        <w:t xml:space="preserve"> </w:t>
      </w:r>
    </w:p>
    <w:p w14:paraId="2A188213" w14:textId="1A972F72" w:rsidR="00816032" w:rsidRDefault="00816032" w:rsidP="00D177BB">
      <w:pPr>
        <w:rPr>
          <w:lang w:eastAsia="de-DE"/>
        </w:rPr>
      </w:pPr>
      <w:r>
        <w:rPr>
          <w:lang w:eastAsia="de-DE"/>
        </w:rPr>
        <w:t xml:space="preserve">Vorurteile II: </w:t>
      </w:r>
      <w:r w:rsidR="00D177BB">
        <w:rPr>
          <w:lang w:eastAsia="de-DE"/>
        </w:rPr>
        <w:t>Mission</w:t>
      </w:r>
      <w:r>
        <w:rPr>
          <w:lang w:eastAsia="de-DE"/>
        </w:rPr>
        <w:t>, m</w:t>
      </w:r>
      <w:r w:rsidR="00D177BB">
        <w:rPr>
          <w:lang w:eastAsia="de-DE"/>
        </w:rPr>
        <w:t>issionieren, missionarisch sein –</w:t>
      </w:r>
      <w:r w:rsidR="00B1758B">
        <w:rPr>
          <w:lang w:eastAsia="de-DE"/>
        </w:rPr>
        <w:t xml:space="preserve"> </w:t>
      </w:r>
      <w:r w:rsidR="00D177BB">
        <w:rPr>
          <w:lang w:eastAsia="de-DE"/>
        </w:rPr>
        <w:t xml:space="preserve">diese Begriffe </w:t>
      </w:r>
      <w:r>
        <w:rPr>
          <w:lang w:eastAsia="de-DE"/>
        </w:rPr>
        <w:t xml:space="preserve">sind </w:t>
      </w:r>
      <w:r w:rsidR="00D177BB">
        <w:rPr>
          <w:lang w:eastAsia="de-DE"/>
        </w:rPr>
        <w:t>im öffentlichen Diskurs meist mit einem „keinesfalls“ konnotiert: Sie wollen doch bitte in dieser oder jener Frage nicht miss</w:t>
      </w:r>
      <w:r w:rsidR="00D177BB">
        <w:rPr>
          <w:lang w:eastAsia="de-DE"/>
        </w:rPr>
        <w:t>i</w:t>
      </w:r>
      <w:r w:rsidR="00D177BB">
        <w:rPr>
          <w:lang w:eastAsia="de-DE"/>
        </w:rPr>
        <w:t xml:space="preserve">onarisch sein. Nachbarbegriffe wären: fanatisch, drängerisch, draufgängerisch, zu allem entschlossen, so dass anderen etwas übergestülpt werden soll. </w:t>
      </w:r>
      <w:r>
        <w:rPr>
          <w:lang w:eastAsia="de-DE"/>
        </w:rPr>
        <w:t>Mission wird auch sofort auch Gewalt, Kolonialisi</w:t>
      </w:r>
      <w:r>
        <w:rPr>
          <w:lang w:eastAsia="de-DE"/>
        </w:rPr>
        <w:t>e</w:t>
      </w:r>
      <w:r>
        <w:rPr>
          <w:lang w:eastAsia="de-DE"/>
        </w:rPr>
        <w:t>rung, Ausbeutung usw. verknüpft.</w:t>
      </w:r>
    </w:p>
    <w:p w14:paraId="0942CC60" w14:textId="77777777" w:rsidR="00D177BB" w:rsidRDefault="00D177BB" w:rsidP="00D177BB">
      <w:pPr>
        <w:pStyle w:val="berschrift3"/>
        <w:rPr>
          <w:lang w:eastAsia="de-DE"/>
        </w:rPr>
      </w:pPr>
      <w:bookmarkStart w:id="7" w:name="_Toc216454070"/>
      <w:r>
        <w:rPr>
          <w:lang w:eastAsia="de-DE"/>
        </w:rPr>
        <w:lastRenderedPageBreak/>
        <w:t>9.2.2 Mission und Religionsfreiheit</w:t>
      </w:r>
      <w:bookmarkEnd w:id="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2943"/>
        <w:gridCol w:w="6345"/>
      </w:tblGrid>
      <w:tr w:rsidR="0090341C" w14:paraId="10BFC153" w14:textId="77777777" w:rsidTr="00903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shd w:val="clear" w:color="C0C0C0" w:fill="auto"/>
          </w:tcPr>
          <w:p w14:paraId="62A73E90" w14:textId="77777777" w:rsidR="0090341C" w:rsidRPr="0090341C" w:rsidRDefault="0090341C" w:rsidP="0090341C">
            <w:pPr>
              <w:rPr>
                <w:rFonts w:asciiTheme="minorHAnsi" w:hAnsiTheme="minorHAnsi"/>
                <w:b w:val="0"/>
                <w:sz w:val="22"/>
                <w:szCs w:val="22"/>
                <w:lang w:eastAsia="de-DE"/>
              </w:rPr>
            </w:pPr>
            <w:r w:rsidRPr="0090341C">
              <w:rPr>
                <w:rFonts w:asciiTheme="minorHAnsi" w:hAnsiTheme="minorHAnsi"/>
                <w:b w:val="0"/>
                <w:i/>
                <w:sz w:val="22"/>
                <w:szCs w:val="22"/>
                <w:lang w:eastAsia="de-DE"/>
              </w:rPr>
              <w:t xml:space="preserve">Negative Religionsfreiheit </w:t>
            </w:r>
            <w:r w:rsidRPr="0090341C">
              <w:rPr>
                <w:rFonts w:asciiTheme="minorHAnsi" w:hAnsiTheme="minorHAnsi"/>
                <w:b w:val="0"/>
                <w:sz w:val="22"/>
                <w:szCs w:val="22"/>
                <w:lang w:eastAsia="de-DE"/>
              </w:rPr>
              <w:t>ist das Recht, nicht religiös zu sein</w:t>
            </w:r>
            <w:r w:rsidR="004359F4">
              <w:rPr>
                <w:rFonts w:asciiTheme="minorHAnsi" w:hAnsiTheme="minorHAnsi"/>
                <w:b w:val="0"/>
                <w:sz w:val="22"/>
                <w:szCs w:val="22"/>
                <w:lang w:eastAsia="de-DE"/>
              </w:rPr>
              <w:t xml:space="preserve">, </w:t>
            </w:r>
            <w:r w:rsidRPr="0090341C">
              <w:rPr>
                <w:rFonts w:asciiTheme="minorHAnsi" w:hAnsiTheme="minorHAnsi"/>
                <w:b w:val="0"/>
                <w:sz w:val="22"/>
                <w:szCs w:val="22"/>
                <w:lang w:eastAsia="de-DE"/>
              </w:rPr>
              <w:t>auch von religiöser Ei</w:t>
            </w:r>
            <w:r w:rsidRPr="0090341C">
              <w:rPr>
                <w:rFonts w:asciiTheme="minorHAnsi" w:hAnsiTheme="minorHAnsi"/>
                <w:b w:val="0"/>
                <w:sz w:val="22"/>
                <w:szCs w:val="22"/>
                <w:lang w:eastAsia="de-DE"/>
              </w:rPr>
              <w:t>n</w:t>
            </w:r>
            <w:r w:rsidRPr="0090341C">
              <w:rPr>
                <w:rFonts w:asciiTheme="minorHAnsi" w:hAnsiTheme="minorHAnsi"/>
                <w:b w:val="0"/>
                <w:sz w:val="22"/>
                <w:szCs w:val="22"/>
                <w:lang w:eastAsia="de-DE"/>
              </w:rPr>
              <w:t xml:space="preserve">wirkung nicht belästigt </w:t>
            </w:r>
            <w:r w:rsidR="00125501">
              <w:rPr>
                <w:rFonts w:asciiTheme="minorHAnsi" w:hAnsiTheme="minorHAnsi"/>
                <w:b w:val="0"/>
                <w:sz w:val="22"/>
                <w:szCs w:val="22"/>
                <w:lang w:eastAsia="de-DE"/>
              </w:rPr>
              <w:t xml:space="preserve">zu </w:t>
            </w:r>
            <w:r w:rsidRPr="0090341C">
              <w:rPr>
                <w:rFonts w:asciiTheme="minorHAnsi" w:hAnsiTheme="minorHAnsi"/>
                <w:b w:val="0"/>
                <w:sz w:val="22"/>
                <w:szCs w:val="22"/>
                <w:lang w:eastAsia="de-DE"/>
              </w:rPr>
              <w:t xml:space="preserve">werden. </w:t>
            </w:r>
          </w:p>
          <w:p w14:paraId="45180349" w14:textId="77777777" w:rsidR="0090341C" w:rsidRDefault="0090341C" w:rsidP="0090341C">
            <w:pPr>
              <w:rPr>
                <w:rFonts w:asciiTheme="minorHAnsi" w:hAnsiTheme="minorHAnsi"/>
                <w:b w:val="0"/>
                <w:sz w:val="22"/>
                <w:szCs w:val="22"/>
                <w:lang w:eastAsia="de-DE"/>
              </w:rPr>
            </w:pPr>
            <w:r>
              <w:rPr>
                <w:rFonts w:asciiTheme="minorHAnsi" w:hAnsiTheme="minorHAnsi"/>
                <w:b w:val="0"/>
                <w:i/>
                <w:sz w:val="22"/>
                <w:szCs w:val="22"/>
                <w:lang w:eastAsia="de-DE"/>
              </w:rPr>
              <w:t>P</w:t>
            </w:r>
            <w:r w:rsidRPr="0090341C">
              <w:rPr>
                <w:rFonts w:asciiTheme="minorHAnsi" w:hAnsiTheme="minorHAnsi"/>
                <w:b w:val="0"/>
                <w:i/>
                <w:sz w:val="22"/>
                <w:szCs w:val="22"/>
                <w:lang w:eastAsia="de-DE"/>
              </w:rPr>
              <w:t>ositive Religionsfreiheit</w:t>
            </w:r>
            <w:r w:rsidRPr="0090341C">
              <w:rPr>
                <w:rFonts w:asciiTheme="minorHAnsi" w:hAnsiTheme="minorHAnsi"/>
                <w:b w:val="0"/>
                <w:sz w:val="22"/>
                <w:szCs w:val="22"/>
                <w:lang w:eastAsia="de-DE"/>
              </w:rPr>
              <w:t xml:space="preserve"> ist das Recht, religiös zu leben, </w:t>
            </w:r>
            <w:r w:rsidR="004359F4">
              <w:rPr>
                <w:rFonts w:asciiTheme="minorHAnsi" w:hAnsiTheme="minorHAnsi"/>
                <w:b w:val="0"/>
                <w:sz w:val="22"/>
                <w:szCs w:val="22"/>
                <w:lang w:eastAsia="de-DE"/>
              </w:rPr>
              <w:t>seinen</w:t>
            </w:r>
            <w:r w:rsidRPr="0090341C">
              <w:rPr>
                <w:rFonts w:asciiTheme="minorHAnsi" w:hAnsiTheme="minorHAnsi"/>
                <w:b w:val="0"/>
                <w:sz w:val="22"/>
                <w:szCs w:val="22"/>
                <w:lang w:eastAsia="de-DE"/>
              </w:rPr>
              <w:t xml:space="preserve"> Glauben öffentlich zu bekennen. </w:t>
            </w:r>
          </w:p>
          <w:p w14:paraId="4542F3B7" w14:textId="77777777" w:rsidR="0090341C" w:rsidRPr="00125501" w:rsidRDefault="00125501" w:rsidP="00555641">
            <w:pPr>
              <w:rPr>
                <w:rFonts w:asciiTheme="minorHAnsi" w:hAnsiTheme="minorHAnsi"/>
                <w:b w:val="0"/>
                <w:sz w:val="22"/>
                <w:szCs w:val="22"/>
                <w:lang w:eastAsia="de-DE"/>
              </w:rPr>
            </w:pPr>
            <w:r w:rsidRPr="00125501">
              <w:rPr>
                <w:rFonts w:asciiTheme="minorHAnsi" w:hAnsiTheme="minorHAnsi"/>
                <w:b w:val="0"/>
                <w:sz w:val="22"/>
                <w:szCs w:val="22"/>
                <w:lang w:eastAsia="de-DE"/>
              </w:rPr>
              <w:t>Zur negativen und positiven Religionsfreiheit gehört auch das Recht, die Religion zu wechseln, also zu konverti</w:t>
            </w:r>
            <w:r w:rsidRPr="00125501">
              <w:rPr>
                <w:rFonts w:asciiTheme="minorHAnsi" w:hAnsiTheme="minorHAnsi"/>
                <w:b w:val="0"/>
                <w:sz w:val="22"/>
                <w:szCs w:val="22"/>
                <w:lang w:eastAsia="de-DE"/>
              </w:rPr>
              <w:t>e</w:t>
            </w:r>
            <w:r w:rsidRPr="00125501">
              <w:rPr>
                <w:rFonts w:asciiTheme="minorHAnsi" w:hAnsiTheme="minorHAnsi"/>
                <w:b w:val="0"/>
                <w:sz w:val="22"/>
                <w:szCs w:val="22"/>
                <w:lang w:eastAsia="de-DE"/>
              </w:rPr>
              <w:t xml:space="preserve">ren. </w:t>
            </w:r>
          </w:p>
        </w:tc>
        <w:tc>
          <w:tcPr>
            <w:tcW w:w="6345" w:type="dxa"/>
            <w:shd w:val="clear" w:color="C0C0C0" w:fill="auto"/>
          </w:tcPr>
          <w:p w14:paraId="348C9869" w14:textId="77777777" w:rsidR="0090341C" w:rsidRDefault="0090341C" w:rsidP="0090341C">
            <w:pPr>
              <w:cnfStyle w:val="100000000000" w:firstRow="1" w:lastRow="0" w:firstColumn="0" w:lastColumn="0" w:oddVBand="0" w:evenVBand="0" w:oddHBand="0" w:evenHBand="0" w:firstRowFirstColumn="0" w:firstRowLastColumn="0" w:lastRowFirstColumn="0" w:lastRowLastColumn="0"/>
            </w:pPr>
            <w:r w:rsidRPr="0090341C">
              <w:rPr>
                <w:rFonts w:asciiTheme="minorHAnsi" w:hAnsiTheme="minorHAnsi"/>
                <w:noProof/>
                <w:szCs w:val="24"/>
                <w:lang w:eastAsia="de-DE"/>
              </w:rPr>
              <w:drawing>
                <wp:inline distT="0" distB="0" distL="0" distR="0" wp14:anchorId="7F2A272B" wp14:editId="0F2DABE3">
                  <wp:extent cx="3799682" cy="2848278"/>
                  <wp:effectExtent l="0" t="0" r="10795"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9938" cy="2848470"/>
                          </a:xfrm>
                          <a:prstGeom prst="rect">
                            <a:avLst/>
                          </a:prstGeom>
                          <a:noFill/>
                          <a:ln>
                            <a:noFill/>
                          </a:ln>
                        </pic:spPr>
                      </pic:pic>
                    </a:graphicData>
                  </a:graphic>
                </wp:inline>
              </w:drawing>
            </w:r>
            <w:r w:rsidRPr="0090341C">
              <w:rPr>
                <w:rStyle w:val="Funotenzeichen"/>
                <w:rFonts w:asciiTheme="minorHAnsi" w:hAnsiTheme="minorHAnsi"/>
                <w:b w:val="0"/>
                <w:sz w:val="22"/>
                <w:szCs w:val="22"/>
                <w:lang w:eastAsia="de-DE"/>
              </w:rPr>
              <w:footnoteReference w:id="3"/>
            </w:r>
          </w:p>
        </w:tc>
      </w:tr>
    </w:tbl>
    <w:p w14:paraId="27684414" w14:textId="77777777" w:rsidR="00D177BB" w:rsidRPr="00125501" w:rsidRDefault="00D177BB" w:rsidP="00125501">
      <w:pPr>
        <w:ind w:left="284"/>
        <w:rPr>
          <w:rFonts w:asciiTheme="minorHAnsi" w:hAnsiTheme="minorHAnsi"/>
          <w:i/>
          <w:szCs w:val="24"/>
          <w:lang w:eastAsia="de-DE"/>
        </w:rPr>
      </w:pPr>
      <w:r w:rsidRPr="00125501">
        <w:rPr>
          <w:rFonts w:asciiTheme="minorHAnsi" w:hAnsiTheme="minorHAnsi"/>
          <w:i/>
          <w:szCs w:val="24"/>
          <w:lang w:eastAsia="de-DE"/>
        </w:rPr>
        <w:t>„Mission und Religionsfreiheit passen hervorragend zusammen. … Mission ist so etwas wie die i</w:t>
      </w:r>
      <w:r w:rsidRPr="00125501">
        <w:rPr>
          <w:rFonts w:asciiTheme="minorHAnsi" w:hAnsiTheme="minorHAnsi"/>
          <w:i/>
          <w:szCs w:val="24"/>
          <w:lang w:eastAsia="de-DE"/>
        </w:rPr>
        <w:t>n</w:t>
      </w:r>
      <w:r w:rsidRPr="00125501">
        <w:rPr>
          <w:rFonts w:asciiTheme="minorHAnsi" w:hAnsiTheme="minorHAnsi"/>
          <w:i/>
          <w:szCs w:val="24"/>
          <w:lang w:eastAsia="de-DE"/>
        </w:rPr>
        <w:t>haltliche Füllung von Religionsfreiheit. Mission unter den Bedingungen von Religionsfreiheit heißt ein religiöses Angebot darzulegen, das es den Menschen ermöglicht, von ihrer positiven Religion</w:t>
      </w:r>
      <w:r w:rsidRPr="00125501">
        <w:rPr>
          <w:rFonts w:asciiTheme="minorHAnsi" w:hAnsiTheme="minorHAnsi"/>
          <w:i/>
          <w:szCs w:val="24"/>
          <w:lang w:eastAsia="de-DE"/>
        </w:rPr>
        <w:t>s</w:t>
      </w:r>
      <w:r w:rsidRPr="00125501">
        <w:rPr>
          <w:rFonts w:asciiTheme="minorHAnsi" w:hAnsiTheme="minorHAnsi"/>
          <w:i/>
          <w:szCs w:val="24"/>
          <w:lang w:eastAsia="de-DE"/>
        </w:rPr>
        <w:t>freiheit Gebrauch zu machen: in Freiheit eine Religionszugehörigkeit zu ergreifen.“</w:t>
      </w:r>
      <w:r w:rsidR="00125501" w:rsidRPr="00125501">
        <w:rPr>
          <w:rFonts w:asciiTheme="minorHAnsi" w:hAnsiTheme="minorHAnsi"/>
          <w:i/>
          <w:szCs w:val="24"/>
          <w:lang w:eastAsia="de-DE"/>
        </w:rPr>
        <w:t xml:space="preserve"> (A</w:t>
      </w:r>
      <w:r w:rsidR="00125501">
        <w:rPr>
          <w:rFonts w:asciiTheme="minorHAnsi" w:hAnsiTheme="minorHAnsi"/>
          <w:i/>
          <w:szCs w:val="24"/>
          <w:lang w:eastAsia="de-DE"/>
        </w:rPr>
        <w:t xml:space="preserve">. </w:t>
      </w:r>
      <w:r w:rsidR="00125501" w:rsidRPr="00125501">
        <w:rPr>
          <w:rFonts w:asciiTheme="minorHAnsi" w:hAnsiTheme="minorHAnsi"/>
          <w:i/>
          <w:szCs w:val="24"/>
          <w:lang w:eastAsia="de-DE"/>
        </w:rPr>
        <w:t>Feldtkeller</w:t>
      </w:r>
      <w:r w:rsidRPr="00125501">
        <w:rPr>
          <w:rStyle w:val="Funotenzeichen"/>
          <w:rFonts w:asciiTheme="minorHAnsi" w:hAnsiTheme="minorHAnsi"/>
          <w:i/>
          <w:szCs w:val="24"/>
          <w:lang w:eastAsia="de-DE"/>
        </w:rPr>
        <w:footnoteReference w:id="4"/>
      </w:r>
      <w:r w:rsidR="00125501" w:rsidRPr="00125501">
        <w:rPr>
          <w:rFonts w:asciiTheme="minorHAnsi" w:hAnsiTheme="minorHAnsi"/>
          <w:i/>
          <w:szCs w:val="24"/>
          <w:lang w:eastAsia="de-DE"/>
        </w:rPr>
        <w:t>)</w:t>
      </w:r>
    </w:p>
    <w:p w14:paraId="66086C36" w14:textId="77777777" w:rsidR="00D177BB" w:rsidRDefault="00D177BB" w:rsidP="00D177BB">
      <w:pPr>
        <w:pStyle w:val="berschrift3"/>
      </w:pPr>
      <w:bookmarkStart w:id="8" w:name="_Toc216454071"/>
      <w:r>
        <w:t>9.2.3 Binnentheologische Missionsallergien und ihre Logik</w:t>
      </w:r>
      <w:bookmarkEnd w:id="8"/>
      <w:r w:rsidRPr="00AB0C2B">
        <w:t xml:space="preserve"> </w:t>
      </w:r>
    </w:p>
    <w:p w14:paraId="6C2C2F41" w14:textId="77777777" w:rsidR="00DF3B23" w:rsidRDefault="00D177BB" w:rsidP="00D177BB">
      <w:r>
        <w:t>In den großen praktisch-theologischen Handbüchern des späten 20. Jahrhunderts kam das Thema „Mission“ nicht vor.</w:t>
      </w:r>
      <w:r w:rsidR="00DF3B23">
        <w:rPr>
          <w:rStyle w:val="Funotenzeichen"/>
        </w:rPr>
        <w:footnoteReference w:id="5"/>
      </w:r>
      <w:r>
        <w:t xml:space="preserve"> Fehlanzeige </w:t>
      </w:r>
      <w:r w:rsidR="00DF3B23">
        <w:t>bei Dietrich Rössler</w:t>
      </w:r>
      <w:r>
        <w:t xml:space="preserve"> (1986)</w:t>
      </w:r>
      <w:r>
        <w:rPr>
          <w:rStyle w:val="Funotenzeichen"/>
        </w:rPr>
        <w:footnoteReference w:id="6"/>
      </w:r>
      <w:r w:rsidR="00DF3B23">
        <w:t xml:space="preserve">, </w:t>
      </w:r>
      <w:r>
        <w:t>Gert Otto</w:t>
      </w:r>
      <w:r w:rsidR="00DF3B23">
        <w:t xml:space="preserve"> (1988</w:t>
      </w:r>
      <w:r>
        <w:rPr>
          <w:rStyle w:val="Funotenzeichen"/>
        </w:rPr>
        <w:footnoteReference w:id="7"/>
      </w:r>
      <w:r w:rsidR="00DF3B23">
        <w:t xml:space="preserve">), </w:t>
      </w:r>
      <w:r>
        <w:t>Wolfgang Steck (2000</w:t>
      </w:r>
      <w:r>
        <w:rPr>
          <w:rStyle w:val="Funotenzeichen"/>
        </w:rPr>
        <w:footnoteReference w:id="8"/>
      </w:r>
      <w:r w:rsidR="00DF3B23">
        <w:t>)</w:t>
      </w:r>
      <w:r>
        <w:t xml:space="preserve"> und </w:t>
      </w:r>
      <w:r w:rsidR="00DF3B23">
        <w:t xml:space="preserve">Wilhelm </w:t>
      </w:r>
      <w:r>
        <w:t>Gräb und Birgit Weyel (</w:t>
      </w:r>
      <w:r w:rsidR="00DF3B23">
        <w:t>2007</w:t>
      </w:r>
      <w:r w:rsidR="00DF3B23">
        <w:rPr>
          <w:rStyle w:val="Funotenzeichen"/>
        </w:rPr>
        <w:footnoteReference w:id="9"/>
      </w:r>
      <w:r>
        <w:t>). In der Systematischen Theologie sieht es sehr ähnlich aus: Auch hier ist Mission weitgehend ein weißer Fleck auf der dogmatischen Landkarte.</w:t>
      </w:r>
      <w:r>
        <w:rPr>
          <w:rStyle w:val="Funotenzeichen"/>
        </w:rPr>
        <w:footnoteReference w:id="10"/>
      </w:r>
      <w:r>
        <w:t xml:space="preserve"> </w:t>
      </w:r>
    </w:p>
    <w:p w14:paraId="761DB012" w14:textId="77777777" w:rsidR="00306C7E" w:rsidRDefault="00306C7E" w:rsidP="00D177BB">
      <w:pPr>
        <w:rPr>
          <w:rFonts w:asciiTheme="minorHAnsi" w:hAnsiTheme="minorHAnsi" w:cs="Helvetica"/>
          <w:szCs w:val="24"/>
          <w:lang w:eastAsia="de-DE"/>
        </w:rPr>
      </w:pPr>
      <w:r>
        <w:rPr>
          <w:rFonts w:asciiTheme="minorHAnsi" w:hAnsiTheme="minorHAnsi"/>
        </w:rPr>
        <w:t>Bischof Dr. Hans-Jürgen Abromeit titelte 2002 in der „Pastoraltheologie:</w:t>
      </w:r>
      <w:r w:rsidR="00D177BB" w:rsidRPr="00411A9D">
        <w:rPr>
          <w:rFonts w:asciiTheme="minorHAnsi" w:hAnsiTheme="minorHAnsi"/>
        </w:rPr>
        <w:t xml:space="preserve"> </w:t>
      </w:r>
      <w:bookmarkStart w:id="9" w:name="OLE_LINK23"/>
      <w:bookmarkStart w:id="10" w:name="OLE_LINK24"/>
      <w:r w:rsidR="00D177BB">
        <w:rPr>
          <w:rFonts w:asciiTheme="minorHAnsi" w:hAnsiTheme="minorHAnsi"/>
        </w:rPr>
        <w:t>„</w:t>
      </w:r>
      <w:r w:rsidR="00D177BB" w:rsidRPr="00411A9D">
        <w:rPr>
          <w:rFonts w:asciiTheme="minorHAnsi" w:hAnsiTheme="minorHAnsi" w:cs="Helvetica"/>
          <w:szCs w:val="24"/>
          <w:lang w:eastAsia="de-DE"/>
        </w:rPr>
        <w:t>Auf die missionarischen Herausforderungen des kirchlichen Alltags vorbereiten. Was sich in der Ausbildung der Pfarrerinnen und Pfarrer ändern muss.</w:t>
      </w:r>
      <w:r w:rsidR="00D177BB">
        <w:rPr>
          <w:rFonts w:asciiTheme="minorHAnsi" w:hAnsiTheme="minorHAnsi" w:cs="Helvetica"/>
          <w:szCs w:val="24"/>
          <w:lang w:eastAsia="de-DE"/>
        </w:rPr>
        <w:t>“</w:t>
      </w:r>
      <w:bookmarkEnd w:id="9"/>
      <w:bookmarkEnd w:id="10"/>
      <w:r w:rsidR="00D177BB">
        <w:rPr>
          <w:rStyle w:val="Funotenzeichen"/>
          <w:rFonts w:asciiTheme="minorHAnsi" w:hAnsiTheme="minorHAnsi" w:cs="Helvetica"/>
          <w:szCs w:val="24"/>
          <w:lang w:eastAsia="de-DE"/>
        </w:rPr>
        <w:footnoteReference w:id="11"/>
      </w:r>
      <w:r w:rsidR="00D177BB" w:rsidRPr="00411A9D">
        <w:rPr>
          <w:rFonts w:asciiTheme="minorHAnsi" w:hAnsiTheme="minorHAnsi" w:cs="Helvetica"/>
          <w:szCs w:val="24"/>
          <w:lang w:eastAsia="de-DE"/>
        </w:rPr>
        <w:t xml:space="preserve"> </w:t>
      </w:r>
    </w:p>
    <w:p w14:paraId="6BF88C43" w14:textId="77777777" w:rsidR="00D177BB" w:rsidRDefault="00306C7E" w:rsidP="00D177BB">
      <w:r>
        <w:t xml:space="preserve">Einige der gewählten </w:t>
      </w:r>
      <w:r w:rsidR="00D177BB">
        <w:t>Gegenbegriffe</w:t>
      </w:r>
      <w:r>
        <w:t xml:space="preserve"> </w:t>
      </w:r>
      <w:r w:rsidR="00D177BB">
        <w:t>verraten zum Teil die anders gelagerte theologische Grundorie</w:t>
      </w:r>
      <w:r w:rsidR="00D177BB">
        <w:t>n</w:t>
      </w:r>
      <w:r w:rsidR="00D177BB">
        <w:t>tierung, zum Teil aber auch das immer noch transportierte Zerrbild von Mis</w:t>
      </w:r>
      <w:r>
        <w:t>sion: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5495"/>
        <w:gridCol w:w="3793"/>
      </w:tblGrid>
      <w:tr w:rsidR="00D96731" w14:paraId="03A1F537" w14:textId="77777777" w:rsidTr="00D96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right w:val="none" w:sz="0" w:space="0" w:color="auto"/>
            </w:tcBorders>
            <w:shd w:val="clear" w:color="C0C0C0" w:fill="auto"/>
          </w:tcPr>
          <w:p w14:paraId="3929CB92" w14:textId="77777777" w:rsidR="00D96731" w:rsidRDefault="00D96731" w:rsidP="00D177BB">
            <w:r w:rsidRPr="00D96731">
              <w:rPr>
                <w:noProof/>
                <w:lang w:eastAsia="de-DE"/>
              </w:rPr>
              <w:drawing>
                <wp:inline distT="0" distB="0" distL="0" distR="0" wp14:anchorId="6627E254" wp14:editId="23229991">
                  <wp:extent cx="3240882" cy="2429396"/>
                  <wp:effectExtent l="0" t="0" r="10795"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1100" cy="2429560"/>
                          </a:xfrm>
                          <a:prstGeom prst="rect">
                            <a:avLst/>
                          </a:prstGeom>
                          <a:noFill/>
                          <a:ln>
                            <a:noFill/>
                          </a:ln>
                        </pic:spPr>
                      </pic:pic>
                    </a:graphicData>
                  </a:graphic>
                </wp:inline>
              </w:drawing>
            </w:r>
            <w:r w:rsidRPr="00D96731">
              <w:rPr>
                <w:rStyle w:val="Funotenzeichen"/>
                <w:b w:val="0"/>
                <w:sz w:val="22"/>
                <w:szCs w:val="22"/>
              </w:rPr>
              <w:footnoteReference w:id="12"/>
            </w:r>
          </w:p>
        </w:tc>
        <w:tc>
          <w:tcPr>
            <w:tcW w:w="3793" w:type="dxa"/>
            <w:shd w:val="clear" w:color="C0C0C0" w:fill="auto"/>
          </w:tcPr>
          <w:p w14:paraId="137362CE" w14:textId="77777777" w:rsidR="00D96731" w:rsidRDefault="00D96731" w:rsidP="00D96731">
            <w:pPr>
              <w:cnfStyle w:val="100000000000" w:firstRow="1" w:lastRow="0" w:firstColumn="0" w:lastColumn="0" w:oddVBand="0" w:evenVBand="0" w:oddHBand="0" w:evenHBand="0" w:firstRowFirstColumn="0" w:firstRowLastColumn="0" w:lastRowFirstColumn="0" w:lastRowLastColumn="0"/>
              <w:rPr>
                <w:b w:val="0"/>
                <w:sz w:val="22"/>
                <w:szCs w:val="22"/>
              </w:rPr>
            </w:pPr>
            <w:r w:rsidRPr="00D96731">
              <w:rPr>
                <w:b w:val="0"/>
                <w:sz w:val="22"/>
                <w:szCs w:val="22"/>
              </w:rPr>
              <w:t>Es ist völlig selbstverständlich, dass zur missionarischen Kompetenz ein hohes Maß an kommunikativer Kompetenz gehört.</w:t>
            </w:r>
            <w:r w:rsidRPr="00D96731">
              <w:rPr>
                <w:rStyle w:val="Funotenzeichen"/>
                <w:b w:val="0"/>
                <w:sz w:val="22"/>
                <w:szCs w:val="22"/>
              </w:rPr>
              <w:footnoteReference w:id="13"/>
            </w:r>
            <w:r w:rsidRPr="00D96731">
              <w:rPr>
                <w:b w:val="0"/>
                <w:sz w:val="22"/>
                <w:szCs w:val="22"/>
              </w:rPr>
              <w:t xml:space="preserve"> Ein Gegensatz zwischen dem einen und dem anderen ist aber küns</w:t>
            </w:r>
            <w:r w:rsidRPr="00D96731">
              <w:rPr>
                <w:b w:val="0"/>
                <w:sz w:val="22"/>
                <w:szCs w:val="22"/>
              </w:rPr>
              <w:t>t</w:t>
            </w:r>
            <w:r w:rsidRPr="00D96731">
              <w:rPr>
                <w:b w:val="0"/>
                <w:sz w:val="22"/>
                <w:szCs w:val="22"/>
              </w:rPr>
              <w:t>lich.</w:t>
            </w:r>
          </w:p>
          <w:p w14:paraId="4CA2263E" w14:textId="77777777" w:rsidR="00D96731" w:rsidRPr="00D96731" w:rsidRDefault="00D96731" w:rsidP="00BB7514">
            <w:pPr>
              <w:cnfStyle w:val="100000000000" w:firstRow="1" w:lastRow="0" w:firstColumn="0" w:lastColumn="0" w:oddVBand="0" w:evenVBand="0" w:oddHBand="0" w:evenHBand="0" w:firstRowFirstColumn="0" w:firstRowLastColumn="0" w:lastRowFirstColumn="0" w:lastRowLastColumn="0"/>
              <w:rPr>
                <w:b w:val="0"/>
                <w:sz w:val="22"/>
                <w:szCs w:val="22"/>
              </w:rPr>
            </w:pPr>
            <w:r w:rsidRPr="00D96731">
              <w:rPr>
                <w:b w:val="0"/>
                <w:sz w:val="22"/>
                <w:szCs w:val="22"/>
              </w:rPr>
              <w:t xml:space="preserve">Oder sollte Kommunikation von jeder Absicht absehen, </w:t>
            </w:r>
            <w:bookmarkStart w:id="11" w:name="OLE_LINK12"/>
            <w:r w:rsidRPr="00D96731">
              <w:rPr>
                <w:b w:val="0"/>
                <w:sz w:val="22"/>
                <w:szCs w:val="22"/>
              </w:rPr>
              <w:t>„andere religiös zu überzeugen“bzw. sie „für den Glauben zu gewinnen“</w:t>
            </w:r>
            <w:bookmarkEnd w:id="11"/>
            <w:r w:rsidR="00BB7514" w:rsidRPr="00D96731">
              <w:rPr>
                <w:rStyle w:val="Funotenzeichen"/>
                <w:b w:val="0"/>
                <w:sz w:val="22"/>
                <w:szCs w:val="22"/>
              </w:rPr>
              <w:footnoteReference w:id="14"/>
            </w:r>
            <w:r w:rsidRPr="00D96731">
              <w:rPr>
                <w:b w:val="0"/>
                <w:sz w:val="22"/>
                <w:szCs w:val="22"/>
              </w:rPr>
              <w:t xml:space="preserve">? Dann </w:t>
            </w:r>
            <w:r>
              <w:rPr>
                <w:b w:val="0"/>
                <w:sz w:val="22"/>
                <w:szCs w:val="22"/>
              </w:rPr>
              <w:t>stünde</w:t>
            </w:r>
            <w:r w:rsidRPr="00D96731">
              <w:rPr>
                <w:b w:val="0"/>
                <w:sz w:val="22"/>
                <w:szCs w:val="22"/>
              </w:rPr>
              <w:t xml:space="preserve"> steht der Auftrag der christlichen Verkündigung zur Disposition.</w:t>
            </w:r>
            <w:r w:rsidR="00F83059" w:rsidRPr="00F83059">
              <w:rPr>
                <w:rStyle w:val="Funotenzeichen"/>
                <w:b w:val="0"/>
                <w:sz w:val="22"/>
                <w:szCs w:val="22"/>
              </w:rPr>
              <w:footnoteReference w:id="15"/>
            </w:r>
          </w:p>
        </w:tc>
      </w:tr>
      <w:tr w:rsidR="00BD521F" w14:paraId="2DEFF970" w14:textId="77777777" w:rsidTr="00BB7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none" w:sz="0" w:space="0" w:color="auto"/>
              <w:right w:val="none" w:sz="0" w:space="0" w:color="auto"/>
            </w:tcBorders>
            <w:shd w:val="clear" w:color="C0C0C0" w:fill="auto"/>
          </w:tcPr>
          <w:p w14:paraId="7748E68A" w14:textId="77777777" w:rsidR="00BD521F" w:rsidRPr="00D96731" w:rsidRDefault="00BD521F" w:rsidP="00D177BB">
            <w:r w:rsidRPr="00BD521F">
              <w:rPr>
                <w:noProof/>
                <w:lang w:eastAsia="de-DE"/>
              </w:rPr>
              <w:drawing>
                <wp:inline distT="0" distB="0" distL="0" distR="0" wp14:anchorId="016A1C7B" wp14:editId="5ED35520">
                  <wp:extent cx="3111212" cy="2332193"/>
                  <wp:effectExtent l="0" t="0" r="0" b="508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387" cy="2333823"/>
                          </a:xfrm>
                          <a:prstGeom prst="rect">
                            <a:avLst/>
                          </a:prstGeom>
                          <a:noFill/>
                          <a:ln>
                            <a:noFill/>
                          </a:ln>
                        </pic:spPr>
                      </pic:pic>
                    </a:graphicData>
                  </a:graphic>
                </wp:inline>
              </w:drawing>
            </w:r>
            <w:r w:rsidRPr="00BD521F">
              <w:rPr>
                <w:rStyle w:val="Funotenzeichen"/>
                <w:sz w:val="22"/>
                <w:szCs w:val="22"/>
              </w:rPr>
              <w:footnoteReference w:id="16"/>
            </w:r>
          </w:p>
        </w:tc>
        <w:tc>
          <w:tcPr>
            <w:tcW w:w="3793" w:type="dxa"/>
            <w:tcBorders>
              <w:top w:val="none" w:sz="0" w:space="0" w:color="auto"/>
              <w:bottom w:val="none" w:sz="0" w:space="0" w:color="auto"/>
            </w:tcBorders>
            <w:shd w:val="clear" w:color="C0C0C0" w:fill="auto"/>
          </w:tcPr>
          <w:p w14:paraId="42C138BD" w14:textId="77777777" w:rsidR="00BB7514" w:rsidRDefault="00BB7514" w:rsidP="00BB7514">
            <w:pPr>
              <w:cnfStyle w:val="000000100000" w:firstRow="0" w:lastRow="0" w:firstColumn="0" w:lastColumn="0" w:oddVBand="0" w:evenVBand="0" w:oddHBand="1" w:evenHBand="0" w:firstRowFirstColumn="0" w:firstRowLastColumn="0" w:lastRowFirstColumn="0" w:lastRowLastColumn="0"/>
              <w:rPr>
                <w:sz w:val="22"/>
                <w:szCs w:val="22"/>
              </w:rPr>
            </w:pPr>
          </w:p>
          <w:p w14:paraId="09AA8733" w14:textId="77777777" w:rsidR="00BB7514" w:rsidRPr="00BB7514" w:rsidRDefault="00BB7514" w:rsidP="00BB7514">
            <w:pPr>
              <w:cnfStyle w:val="000000100000" w:firstRow="0" w:lastRow="0" w:firstColumn="0" w:lastColumn="0" w:oddVBand="0" w:evenVBand="0" w:oddHBand="1" w:evenHBand="0" w:firstRowFirstColumn="0" w:firstRowLastColumn="0" w:lastRowFirstColumn="0" w:lastRowLastColumn="0"/>
              <w:rPr>
                <w:sz w:val="22"/>
                <w:szCs w:val="22"/>
              </w:rPr>
            </w:pPr>
            <w:r w:rsidRPr="00BB7514">
              <w:rPr>
                <w:sz w:val="22"/>
                <w:szCs w:val="22"/>
              </w:rPr>
              <w:t>Es ist völlig selbstverständlich, dass zu jeder guten Arbeit sorgfältige Wah</w:t>
            </w:r>
            <w:r w:rsidRPr="00BB7514">
              <w:rPr>
                <w:sz w:val="22"/>
                <w:szCs w:val="22"/>
              </w:rPr>
              <w:t>r</w:t>
            </w:r>
            <w:r w:rsidRPr="00BB7514">
              <w:rPr>
                <w:sz w:val="22"/>
                <w:szCs w:val="22"/>
              </w:rPr>
              <w:t xml:space="preserve">nehmung gehört. </w:t>
            </w:r>
          </w:p>
          <w:p w14:paraId="6E116F83" w14:textId="77777777" w:rsidR="00BD521F" w:rsidRPr="00BB7514" w:rsidRDefault="00BB7514" w:rsidP="00BB7514">
            <w:pPr>
              <w:cnfStyle w:val="000000100000" w:firstRow="0" w:lastRow="0" w:firstColumn="0" w:lastColumn="0" w:oddVBand="0" w:evenVBand="0" w:oddHBand="1" w:evenHBand="0" w:firstRowFirstColumn="0" w:firstRowLastColumn="0" w:lastRowFirstColumn="0" w:lastRowLastColumn="0"/>
            </w:pPr>
            <w:r w:rsidRPr="00BB7514">
              <w:rPr>
                <w:sz w:val="22"/>
                <w:szCs w:val="22"/>
              </w:rPr>
              <w:t>Oder wird Wahrnehmung mit passiver Akzeptanz des Wahrgenommenen gleichgesetzt?</w:t>
            </w:r>
          </w:p>
        </w:tc>
      </w:tr>
    </w:tbl>
    <w:p w14:paraId="6A411979" w14:textId="77777777" w:rsidR="00BD521F" w:rsidRDefault="00BB7514" w:rsidP="00BB7514">
      <w:pPr>
        <w:jc w:val="center"/>
      </w:pPr>
      <w:r w:rsidRPr="00BB7514">
        <w:rPr>
          <w:noProof/>
          <w:lang w:eastAsia="de-DE"/>
        </w:rPr>
        <w:drawing>
          <wp:inline distT="0" distB="0" distL="0" distR="0" wp14:anchorId="6C75A08A" wp14:editId="779CB35C">
            <wp:extent cx="3729832" cy="2795918"/>
            <wp:effectExtent l="0" t="0" r="4445" b="0"/>
            <wp:docPr id="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0083" cy="2796106"/>
                    </a:xfrm>
                    <a:prstGeom prst="rect">
                      <a:avLst/>
                    </a:prstGeom>
                    <a:noFill/>
                    <a:ln>
                      <a:noFill/>
                    </a:ln>
                  </pic:spPr>
                </pic:pic>
              </a:graphicData>
            </a:graphic>
          </wp:inline>
        </w:drawing>
      </w:r>
      <w:r>
        <w:rPr>
          <w:rStyle w:val="Funotenzeichen"/>
        </w:rPr>
        <w:footnoteReference w:id="17"/>
      </w:r>
    </w:p>
    <w:p w14:paraId="5E7B245A" w14:textId="77777777" w:rsidR="00D177BB" w:rsidRDefault="00D177BB" w:rsidP="00D177BB">
      <w:pPr>
        <w:pStyle w:val="berschrift2"/>
        <w:rPr>
          <w:lang w:eastAsia="de-DE"/>
        </w:rPr>
      </w:pPr>
      <w:bookmarkStart w:id="12" w:name="_Toc216454072"/>
      <w:r>
        <w:rPr>
          <w:lang w:eastAsia="de-DE"/>
        </w:rPr>
        <w:t>9.3 Was ist Mission?</w:t>
      </w:r>
      <w:bookmarkEnd w:id="12"/>
    </w:p>
    <w:p w14:paraId="352E7207" w14:textId="77777777" w:rsidR="00BB7514" w:rsidRDefault="00BB7514" w:rsidP="00D177BB">
      <w:pPr>
        <w:rPr>
          <w:rFonts w:asciiTheme="minorHAnsi" w:hAnsiTheme="minorHAnsi"/>
        </w:rPr>
      </w:pPr>
      <w:r>
        <w:rPr>
          <w:rFonts w:asciiTheme="minorHAnsi" w:hAnsiTheme="minorHAnsi"/>
        </w:rPr>
        <w:t>Ganz einfach gesagt:</w:t>
      </w:r>
      <w:r w:rsidR="00D177BB" w:rsidRPr="00E4603B">
        <w:rPr>
          <w:rFonts w:asciiTheme="minorHAnsi" w:hAnsiTheme="minorHAnsi"/>
        </w:rPr>
        <w:t xml:space="preserve"> Mission ist eine bestimmte Beauftragung der Kirche, das Evangelium möglichst vielen Menschen zugänglich zu machen und um Glauben zu werben.</w:t>
      </w:r>
      <w:r w:rsidR="00D177BB">
        <w:rPr>
          <w:rFonts w:asciiTheme="minorHAnsi" w:hAnsiTheme="minorHAnsi"/>
        </w:rPr>
        <w:t xml:space="preserve"> </w:t>
      </w:r>
      <w:bookmarkStart w:id="13" w:name="OLE_LINK25"/>
      <w:bookmarkStart w:id="14" w:name="OLE_LINK26"/>
      <w:r w:rsidR="00D177BB">
        <w:rPr>
          <w:rFonts w:asciiTheme="minorHAnsi" w:hAnsiTheme="minorHAnsi"/>
        </w:rPr>
        <w:t>Mission ist Werbung darum, dass mein Gegenüber Christ werde.</w:t>
      </w:r>
      <w:r w:rsidR="00D177BB">
        <w:rPr>
          <w:rStyle w:val="Funotenzeichen"/>
          <w:rFonts w:asciiTheme="minorHAnsi" w:hAnsiTheme="minorHAnsi"/>
        </w:rPr>
        <w:footnoteReference w:id="18"/>
      </w:r>
      <w:r w:rsidR="00D177BB" w:rsidRPr="00E4603B">
        <w:rPr>
          <w:rFonts w:asciiTheme="minorHAnsi" w:hAnsiTheme="minorHAnsi"/>
        </w:rPr>
        <w:t xml:space="preserve"> </w:t>
      </w:r>
    </w:p>
    <w:p w14:paraId="51D94E82" w14:textId="77777777" w:rsidR="00D177BB" w:rsidRPr="00BB7514" w:rsidRDefault="00D177BB" w:rsidP="00BB7514">
      <w:pPr>
        <w:ind w:left="284"/>
        <w:rPr>
          <w:rFonts w:asciiTheme="minorHAnsi" w:hAnsiTheme="minorHAnsi"/>
          <w:i/>
        </w:rPr>
      </w:pPr>
      <w:r w:rsidRPr="00BB7514">
        <w:rPr>
          <w:rFonts w:asciiTheme="minorHAnsi" w:hAnsiTheme="minorHAnsi"/>
          <w:i/>
          <w:szCs w:val="24"/>
        </w:rPr>
        <w:t>„Christliche Mission geschieht in der unbegrenzten und grenzenlosen Bitte, sich mit Gott versö</w:t>
      </w:r>
      <w:r w:rsidRPr="00BB7514">
        <w:rPr>
          <w:rFonts w:asciiTheme="minorHAnsi" w:hAnsiTheme="minorHAnsi"/>
          <w:i/>
          <w:szCs w:val="24"/>
        </w:rPr>
        <w:t>h</w:t>
      </w:r>
      <w:r w:rsidRPr="00BB7514">
        <w:rPr>
          <w:rFonts w:asciiTheme="minorHAnsi" w:hAnsiTheme="minorHAnsi"/>
          <w:i/>
          <w:szCs w:val="24"/>
        </w:rPr>
        <w:t>nen zu lassen, d.h. sich die Versöhnung der Welt mit Gott in Jesus Christus gefallen zu lassen, ihr sich auszusetzen.“</w:t>
      </w:r>
      <w:bookmarkEnd w:id="13"/>
      <w:bookmarkEnd w:id="14"/>
      <w:r w:rsidR="00BB7514" w:rsidRPr="00BB7514">
        <w:rPr>
          <w:rFonts w:asciiTheme="minorHAnsi" w:hAnsiTheme="minorHAnsi"/>
          <w:i/>
          <w:szCs w:val="24"/>
        </w:rPr>
        <w:t xml:space="preserve"> (Gerhard Sauter</w:t>
      </w:r>
      <w:r w:rsidRPr="00BB7514">
        <w:rPr>
          <w:rStyle w:val="Funotenzeichen"/>
          <w:rFonts w:asciiTheme="minorHAnsi" w:hAnsiTheme="minorHAnsi"/>
          <w:i/>
          <w:szCs w:val="24"/>
        </w:rPr>
        <w:footnoteReference w:id="19"/>
      </w:r>
      <w:r w:rsidR="00BB7514" w:rsidRPr="00BB7514">
        <w:rPr>
          <w:rFonts w:asciiTheme="minorHAnsi" w:hAnsiTheme="minorHAnsi"/>
          <w:i/>
          <w:szCs w:val="24"/>
        </w:rPr>
        <w:t>)</w:t>
      </w:r>
      <w:r w:rsidRPr="00BB7514">
        <w:rPr>
          <w:rFonts w:asciiTheme="minorHAnsi" w:hAnsiTheme="minorHAnsi"/>
          <w:i/>
          <w:szCs w:val="24"/>
        </w:rPr>
        <w:t xml:space="preserve"> </w:t>
      </w:r>
    </w:p>
    <w:p w14:paraId="18A5B482" w14:textId="77777777" w:rsidR="00D177BB" w:rsidRDefault="00D177BB" w:rsidP="00D177BB">
      <w:pPr>
        <w:pStyle w:val="berschrift3"/>
      </w:pPr>
      <w:bookmarkStart w:id="15" w:name="_Toc216454073"/>
      <w:r>
        <w:t xml:space="preserve">9.3.1 Der Neuansatz 1952: Mission als </w:t>
      </w:r>
      <w:r w:rsidR="00D63E1C" w:rsidRPr="00D63E1C">
        <w:rPr>
          <w:i/>
        </w:rPr>
        <w:t>M</w:t>
      </w:r>
      <w:r w:rsidRPr="00D63E1C">
        <w:rPr>
          <w:i/>
        </w:rPr>
        <w:t>issio Dei</w:t>
      </w:r>
      <w:bookmarkEnd w:id="15"/>
    </w:p>
    <w:p w14:paraId="280AAC8E" w14:textId="77777777" w:rsidR="00D177BB" w:rsidRPr="00E20BA3" w:rsidRDefault="00D177BB" w:rsidP="00D177BB">
      <w:r w:rsidRPr="00E20BA3">
        <w:t>Mission ist nicht die Mission der Kirche</w:t>
      </w:r>
      <w:r w:rsidR="00E20BA3" w:rsidRPr="00E20BA3">
        <w:t xml:space="preserve">, </w:t>
      </w:r>
      <w:r w:rsidRPr="00E20BA3">
        <w:t>Kirche ist nicht das Subjekt der Mission. Mission ist vielmehr etwas, das von Gott ausgeht. Und mehr noch: Mission ist etwas, das mit dem Wesen Gott</w:t>
      </w:r>
      <w:r w:rsidR="00E20BA3" w:rsidRPr="00E20BA3">
        <w:t>es auf das Engste verknüpft ist</w:t>
      </w:r>
      <w:r w:rsidRPr="00E20BA3">
        <w:t>: Es ist Gottes Mission. Das ist seit der Weltmissionskonferenz in Willingen 1952 ein vielfach variierter Gedanke.</w:t>
      </w:r>
    </w:p>
    <w:p w14:paraId="29A1547C" w14:textId="70D8D652" w:rsidR="003519AE" w:rsidRDefault="00D177BB" w:rsidP="00D177BB">
      <w:r w:rsidRPr="00E20BA3">
        <w:t xml:space="preserve">Ankerpunkt ist die Einsicht, dass Mission zuerst ein trinitätstheologischer Begriff ist und nicht eine </w:t>
      </w:r>
      <w:r w:rsidRPr="008811B5">
        <w:t>Aussage über mehr oder wenige appetitliche Aktivitäten der Kirche. Es geht um die „Sendungen“ in der dreieinigen Gottheit. Es ist ja Gottes Wesen, sich selbst zu verschenken. Man sieht es an der i</w:t>
      </w:r>
      <w:r w:rsidRPr="008811B5">
        <w:t>n</w:t>
      </w:r>
      <w:r w:rsidRPr="008811B5">
        <w:t>nertrinitarischen Geschichte: Der Vater zeugt den Sohn und „atmet“ den Geist, und der Geist ist G</w:t>
      </w:r>
      <w:r w:rsidRPr="008811B5">
        <w:t>a</w:t>
      </w:r>
      <w:r>
        <w:t>be an den Sohn, wie der Sohn Gabe ist an den Geist. Nichts hält der Vater zurück, so sehr ist G</w:t>
      </w:r>
      <w:r>
        <w:t>e</w:t>
      </w:r>
      <w:r>
        <w:t>ben sein Wesen.</w:t>
      </w:r>
      <w:r>
        <w:rPr>
          <w:rStyle w:val="Funotenzeichen"/>
        </w:rPr>
        <w:footnoteReference w:id="20"/>
      </w:r>
      <w:r>
        <w:t xml:space="preserve"> Und diese innere Bewegung setzt sich sofort nach außen fort. </w:t>
      </w:r>
      <w:bookmarkStart w:id="16" w:name="OLE_LINK9"/>
      <w:bookmarkStart w:id="17" w:name="OLE_LINK10"/>
      <w:r>
        <w:t>Senden ist Hingabe, G</w:t>
      </w:r>
      <w:r>
        <w:t>e</w:t>
      </w:r>
      <w:r>
        <w:t>schenk und liebevolle Z</w:t>
      </w:r>
      <w:r>
        <w:t>u</w:t>
      </w:r>
      <w:r>
        <w:t xml:space="preserve">wendung. </w:t>
      </w:r>
    </w:p>
    <w:p w14:paraId="2D32CF12" w14:textId="77777777" w:rsidR="003519AE" w:rsidRPr="003519AE" w:rsidRDefault="00D177BB" w:rsidP="003519AE">
      <w:pPr>
        <w:ind w:left="284"/>
        <w:rPr>
          <w:i/>
        </w:rPr>
      </w:pPr>
      <w:r w:rsidRPr="003519AE">
        <w:rPr>
          <w:i/>
        </w:rPr>
        <w:t>„</w:t>
      </w:r>
      <w:r w:rsidRPr="003519AE">
        <w:rPr>
          <w:i/>
          <w:lang w:val="en-GB"/>
        </w:rPr>
        <w:t>Mission is God’s self-giving for the sake of humanity</w:t>
      </w:r>
      <w:r w:rsidRPr="003519AE">
        <w:rPr>
          <w:i/>
        </w:rPr>
        <w:t>.“</w:t>
      </w:r>
      <w:r w:rsidR="003519AE">
        <w:rPr>
          <w:i/>
        </w:rPr>
        <w:t xml:space="preserve"> (Michael Moynagh</w:t>
      </w:r>
      <w:r w:rsidRPr="003519AE">
        <w:rPr>
          <w:rStyle w:val="Funotenzeichen"/>
          <w:i/>
        </w:rPr>
        <w:footnoteReference w:id="21"/>
      </w:r>
      <w:r w:rsidR="003519AE">
        <w:rPr>
          <w:i/>
        </w:rPr>
        <w:t>)</w:t>
      </w:r>
      <w:r w:rsidRPr="003519AE">
        <w:rPr>
          <w:i/>
        </w:rPr>
        <w:t xml:space="preserve"> </w:t>
      </w:r>
    </w:p>
    <w:p w14:paraId="3CEAC162" w14:textId="77777777" w:rsidR="008811B5" w:rsidRDefault="00D177BB" w:rsidP="00D177BB">
      <w:r>
        <w:t>Liebevolle Selbsthingabe für den anderen ist der Wesenszug der Mission schlechthin. An ihr hat die Kirche Jesu Anteil. Die Gemeinde Jesu kann wesensmäßig gar nichts anderes sein als „self-giving with an outward focus“</w:t>
      </w:r>
      <w:r>
        <w:rPr>
          <w:rStyle w:val="Funotenzeichen"/>
        </w:rPr>
        <w:footnoteReference w:id="22"/>
      </w:r>
      <w:r>
        <w:t xml:space="preserve">, </w:t>
      </w:r>
      <w:bookmarkEnd w:id="16"/>
      <w:bookmarkEnd w:id="17"/>
      <w:r>
        <w:t>als eine Selbsthingabe mit einem a</w:t>
      </w:r>
      <w:r>
        <w:t>u</w:t>
      </w:r>
      <w:r>
        <w:t xml:space="preserve">ßenorientierten Fokus. </w:t>
      </w:r>
    </w:p>
    <w:p w14:paraId="2F0A205E" w14:textId="49A2F688" w:rsidR="00D177BB" w:rsidRDefault="00D177BB" w:rsidP="00D177BB">
      <w:r>
        <w:t xml:space="preserve">Mission ist </w:t>
      </w:r>
      <w:r w:rsidRPr="0046745F">
        <w:rPr>
          <w:i/>
        </w:rPr>
        <w:t>der</w:t>
      </w:r>
      <w:r>
        <w:t xml:space="preserve"> Wesenszug Gottes selbst und darum auch </w:t>
      </w:r>
      <w:r w:rsidRPr="00D84CC2">
        <w:rPr>
          <w:i/>
        </w:rPr>
        <w:t>der</w:t>
      </w:r>
      <w:r>
        <w:t xml:space="preserve"> W</w:t>
      </w:r>
      <w:r w:rsidR="00E20BA3">
        <w:t>esenszug der Kirche schlechthin.</w:t>
      </w:r>
      <w:r>
        <w:t xml:space="preserve"> Mi</w:t>
      </w:r>
      <w:r>
        <w:t>s</w:t>
      </w:r>
      <w:r>
        <w:t xml:space="preserve">sion ist also nicht nur </w:t>
      </w:r>
      <w:r w:rsidRPr="0046745F">
        <w:rPr>
          <w:i/>
        </w:rPr>
        <w:t>eine</w:t>
      </w:r>
      <w:r>
        <w:t xml:space="preserve"> mögliche Konsequenz des Wesens Gottes und darum auch nicht nur eine unter vielen Tätigkeiten in der Kirche. </w:t>
      </w:r>
    </w:p>
    <w:p w14:paraId="6FD2150B" w14:textId="61919C65" w:rsidR="00D177BB" w:rsidRPr="00AC3F30" w:rsidRDefault="00D177BB" w:rsidP="00AC3F30">
      <w:pPr>
        <w:pStyle w:val="berschrift2"/>
        <w:rPr>
          <w:noProof/>
          <w:sz w:val="22"/>
          <w:lang w:eastAsia="de-DE"/>
        </w:rPr>
      </w:pPr>
      <w:r w:rsidRPr="004F502E">
        <w:rPr>
          <w:sz w:val="22"/>
          <w:lang w:eastAsia="de-DE"/>
        </w:rPr>
        <w:fldChar w:fldCharType="begin"/>
      </w:r>
      <w:r w:rsidRPr="004F502E">
        <w:rPr>
          <w:sz w:val="22"/>
          <w:lang w:eastAsia="de-DE"/>
        </w:rPr>
        <w:instrText xml:space="preserve"> ADDIN EN.REFLIST </w:instrText>
      </w:r>
      <w:r w:rsidRPr="004F502E">
        <w:rPr>
          <w:sz w:val="22"/>
          <w:lang w:eastAsia="de-DE"/>
        </w:rPr>
        <w:fldChar w:fldCharType="separate"/>
      </w:r>
      <w:bookmarkStart w:id="18" w:name="_Toc216454077"/>
      <w:r w:rsidRPr="004F502E">
        <w:rPr>
          <w:noProof/>
          <w:sz w:val="22"/>
          <w:lang w:eastAsia="de-DE"/>
        </w:rPr>
        <w:t>Literaturliste</w:t>
      </w:r>
      <w:bookmarkEnd w:id="18"/>
    </w:p>
    <w:p w14:paraId="697E3391" w14:textId="77777777" w:rsidR="00D177BB" w:rsidRPr="004F502E" w:rsidRDefault="00D177BB" w:rsidP="00D177BB">
      <w:pPr>
        <w:spacing w:after="0" w:line="240" w:lineRule="auto"/>
        <w:ind w:left="720" w:hanging="720"/>
        <w:rPr>
          <w:noProof/>
          <w:sz w:val="20"/>
          <w:lang w:eastAsia="de-DE"/>
        </w:rPr>
      </w:pPr>
      <w:bookmarkStart w:id="19" w:name="_ENREF_1"/>
      <w:r w:rsidRPr="00944A88">
        <w:rPr>
          <w:b/>
          <w:noProof/>
          <w:sz w:val="20"/>
          <w:lang w:eastAsia="de-DE"/>
        </w:rPr>
        <w:t xml:space="preserve">Abromeit, Hans-Jürgen:  </w:t>
      </w:r>
      <w:r w:rsidRPr="004F502E">
        <w:rPr>
          <w:i/>
          <w:noProof/>
          <w:sz w:val="20"/>
          <w:lang w:eastAsia="de-DE"/>
        </w:rPr>
        <w:t>Kommunikationsstörungen über Mission. Warum manche für die theologische Ausbildung Verantwortlichen das missionarische Profil nicht wollen. Zu Reinhard Kählers kritischen Anfragen</w:t>
      </w:r>
      <w:r w:rsidRPr="004F502E">
        <w:rPr>
          <w:noProof/>
          <w:sz w:val="20"/>
          <w:lang w:eastAsia="de-DE"/>
        </w:rPr>
        <w:t>. PTh 91 (2002a), 146-149</w:t>
      </w:r>
    </w:p>
    <w:p w14:paraId="298D2329" w14:textId="77777777" w:rsidR="00D177BB" w:rsidRPr="00944A88" w:rsidRDefault="00D177BB" w:rsidP="00D177BB">
      <w:pPr>
        <w:spacing w:after="0" w:line="240" w:lineRule="auto"/>
        <w:ind w:left="720" w:hanging="720"/>
        <w:rPr>
          <w:b/>
          <w:noProof/>
          <w:sz w:val="20"/>
          <w:lang w:eastAsia="de-DE"/>
        </w:rPr>
      </w:pPr>
      <w:bookmarkStart w:id="20" w:name="_ENREF_2"/>
      <w:bookmarkEnd w:id="19"/>
      <w:r w:rsidRPr="00944A88">
        <w:rPr>
          <w:b/>
          <w:noProof/>
          <w:sz w:val="20"/>
          <w:lang w:eastAsia="de-DE"/>
        </w:rPr>
        <w:t xml:space="preserve">---:  </w:t>
      </w:r>
      <w:r w:rsidRPr="00944A88">
        <w:rPr>
          <w:b/>
          <w:i/>
          <w:noProof/>
          <w:sz w:val="20"/>
          <w:lang w:eastAsia="de-DE"/>
        </w:rPr>
        <w:t>Auf die missionarischen Herausforderungen des kirchlichen Alltags vorbereiten. Was sich in der Ausbildung der Pfarrerinnen und Pfarrer ändern muss. Initiativkreis "Kontextuelle Evangelisation im gesellschaftlichen Wandel". Ergebnisse eines Hearings in Hanstedt am 2./3. Februar 2001</w:t>
      </w:r>
      <w:r w:rsidRPr="00944A88">
        <w:rPr>
          <w:b/>
          <w:noProof/>
          <w:sz w:val="20"/>
          <w:lang w:eastAsia="de-DE"/>
        </w:rPr>
        <w:t>. PTh 91 (2002b), 126-136</w:t>
      </w:r>
    </w:p>
    <w:p w14:paraId="268A9B70" w14:textId="77777777" w:rsidR="00D177BB" w:rsidRPr="004F502E" w:rsidRDefault="00D177BB" w:rsidP="00D177BB">
      <w:pPr>
        <w:spacing w:after="0" w:line="240" w:lineRule="auto"/>
        <w:ind w:left="720" w:hanging="720"/>
        <w:rPr>
          <w:noProof/>
          <w:sz w:val="20"/>
          <w:lang w:eastAsia="de-DE"/>
        </w:rPr>
      </w:pPr>
      <w:bookmarkStart w:id="21" w:name="_ENREF_3"/>
      <w:bookmarkEnd w:id="20"/>
      <w:r w:rsidRPr="004F502E">
        <w:rPr>
          <w:noProof/>
          <w:sz w:val="20"/>
          <w:lang w:eastAsia="de-DE"/>
        </w:rPr>
        <w:t xml:space="preserve">Kirchenamt der EKD (Hg.): </w:t>
      </w:r>
      <w:r w:rsidRPr="004F502E">
        <w:rPr>
          <w:i/>
          <w:noProof/>
          <w:sz w:val="20"/>
          <w:lang w:eastAsia="de-DE"/>
        </w:rPr>
        <w:t>Reden von Gott in der Welt. Der missionarische Auftrag der Kirche an der Schwelle zum 3. Jahrtausend</w:t>
      </w:r>
      <w:r w:rsidRPr="004F502E">
        <w:rPr>
          <w:noProof/>
          <w:sz w:val="20"/>
          <w:lang w:eastAsia="de-DE"/>
        </w:rPr>
        <w:t xml:space="preserve">. Frankfurt/M. 2. Aufl. 2001a </w:t>
      </w:r>
      <w:bookmarkEnd w:id="21"/>
    </w:p>
    <w:p w14:paraId="2E79CC5D" w14:textId="77777777" w:rsidR="00D177BB" w:rsidRPr="004F502E" w:rsidRDefault="00D177BB" w:rsidP="00D177BB">
      <w:pPr>
        <w:spacing w:after="0" w:line="240" w:lineRule="auto"/>
        <w:ind w:left="720" w:hanging="720"/>
        <w:rPr>
          <w:noProof/>
          <w:sz w:val="20"/>
          <w:lang w:eastAsia="de-DE"/>
        </w:rPr>
      </w:pPr>
      <w:bookmarkStart w:id="22" w:name="_ENREF_4"/>
      <w:r w:rsidRPr="004F502E">
        <w:rPr>
          <w:noProof/>
          <w:sz w:val="20"/>
          <w:lang w:eastAsia="de-DE"/>
        </w:rPr>
        <w:t xml:space="preserve">---: </w:t>
      </w:r>
      <w:r w:rsidRPr="004F502E">
        <w:rPr>
          <w:i/>
          <w:noProof/>
          <w:sz w:val="20"/>
          <w:lang w:eastAsia="de-DE"/>
        </w:rPr>
        <w:t>Das Evangelium unter die Leute bringen. Zum missionarischen Auftrag der Kirche in unserem Land</w:t>
      </w:r>
      <w:r w:rsidRPr="004F502E">
        <w:rPr>
          <w:noProof/>
          <w:sz w:val="20"/>
          <w:lang w:eastAsia="de-DE"/>
        </w:rPr>
        <w:t>. Hannover 2001b (EKD-Texte Bd. 68)</w:t>
      </w:r>
      <w:bookmarkEnd w:id="22"/>
    </w:p>
    <w:p w14:paraId="11A1D9DD" w14:textId="77777777" w:rsidR="00D177BB" w:rsidRPr="004F502E" w:rsidRDefault="00D177BB" w:rsidP="00D177BB">
      <w:pPr>
        <w:spacing w:after="0" w:line="240" w:lineRule="auto"/>
        <w:ind w:left="720" w:hanging="720"/>
        <w:rPr>
          <w:noProof/>
          <w:sz w:val="20"/>
          <w:lang w:eastAsia="de-DE"/>
        </w:rPr>
      </w:pPr>
      <w:bookmarkStart w:id="23" w:name="_ENREF_5"/>
      <w:r w:rsidRPr="004F502E">
        <w:rPr>
          <w:noProof/>
          <w:sz w:val="20"/>
          <w:lang w:eastAsia="de-DE"/>
        </w:rPr>
        <w:t xml:space="preserve">Feldtkeller, Andreas: </w:t>
      </w:r>
      <w:r w:rsidRPr="004F502E">
        <w:rPr>
          <w:i/>
          <w:noProof/>
          <w:sz w:val="20"/>
          <w:lang w:eastAsia="de-DE"/>
        </w:rPr>
        <w:t>Kontextuelle Missionstheologie. Das Beispiel einer missionarischen Theologie in und für Mitteleuropa</w:t>
      </w:r>
      <w:r w:rsidRPr="004F502E">
        <w:rPr>
          <w:noProof/>
          <w:sz w:val="20"/>
          <w:lang w:eastAsia="de-DE"/>
        </w:rPr>
        <w:t xml:space="preserve">. In: Martin Reppenhagen und Michael Herbst (Hg.): </w:t>
      </w:r>
      <w:r w:rsidRPr="004F502E">
        <w:rPr>
          <w:i/>
          <w:noProof/>
          <w:sz w:val="20"/>
          <w:lang w:eastAsia="de-DE"/>
        </w:rPr>
        <w:t xml:space="preserve">Kirche in der Postmoderne. </w:t>
      </w:r>
      <w:r w:rsidRPr="004F502E">
        <w:rPr>
          <w:noProof/>
          <w:sz w:val="20"/>
          <w:lang w:eastAsia="de-DE"/>
        </w:rPr>
        <w:t>Neukirchen-Vluyn 2008, 35-50 (BEG Bd. 6)</w:t>
      </w:r>
      <w:bookmarkEnd w:id="23"/>
    </w:p>
    <w:p w14:paraId="092FB11B" w14:textId="77777777" w:rsidR="00D177BB" w:rsidRPr="004F502E" w:rsidRDefault="00D177BB" w:rsidP="00D177BB">
      <w:pPr>
        <w:spacing w:after="0" w:line="240" w:lineRule="auto"/>
        <w:ind w:left="720" w:hanging="720"/>
        <w:rPr>
          <w:noProof/>
          <w:sz w:val="20"/>
          <w:lang w:eastAsia="de-DE"/>
        </w:rPr>
      </w:pPr>
      <w:bookmarkStart w:id="24" w:name="_ENREF_6"/>
      <w:r w:rsidRPr="004F502E">
        <w:rPr>
          <w:noProof/>
          <w:sz w:val="20"/>
          <w:lang w:eastAsia="de-DE"/>
        </w:rPr>
        <w:t xml:space="preserve">Gräb, Wilhelm und Weyel, Birgit: </w:t>
      </w:r>
      <w:r w:rsidRPr="004F502E">
        <w:rPr>
          <w:i/>
          <w:noProof/>
          <w:sz w:val="20"/>
          <w:lang w:eastAsia="de-DE"/>
        </w:rPr>
        <w:t>Handbuch Praktische Theologie</w:t>
      </w:r>
      <w:r w:rsidRPr="004F502E">
        <w:rPr>
          <w:noProof/>
          <w:sz w:val="20"/>
          <w:lang w:eastAsia="de-DE"/>
        </w:rPr>
        <w:t xml:space="preserve">. Gütersloh 2007 </w:t>
      </w:r>
      <w:bookmarkEnd w:id="24"/>
    </w:p>
    <w:p w14:paraId="05AA06AB" w14:textId="77777777" w:rsidR="00D177BB" w:rsidRPr="004F502E" w:rsidRDefault="00D177BB" w:rsidP="00D177BB">
      <w:pPr>
        <w:spacing w:after="0" w:line="240" w:lineRule="auto"/>
        <w:ind w:left="720" w:hanging="720"/>
        <w:rPr>
          <w:noProof/>
          <w:sz w:val="20"/>
          <w:lang w:eastAsia="de-DE"/>
        </w:rPr>
      </w:pPr>
      <w:bookmarkStart w:id="25" w:name="_ENREF_7"/>
      <w:r w:rsidRPr="004F502E">
        <w:rPr>
          <w:noProof/>
          <w:sz w:val="20"/>
          <w:lang w:eastAsia="de-DE"/>
        </w:rPr>
        <w:t xml:space="preserve">Hauschildt, Eberhard:  </w:t>
      </w:r>
      <w:r w:rsidRPr="004F502E">
        <w:rPr>
          <w:i/>
          <w:noProof/>
          <w:sz w:val="20"/>
          <w:lang w:eastAsia="de-DE"/>
        </w:rPr>
        <w:t>Ist Mission Dialog?</w:t>
      </w:r>
      <w:r w:rsidRPr="004F502E">
        <w:rPr>
          <w:noProof/>
          <w:sz w:val="20"/>
          <w:lang w:eastAsia="de-DE"/>
        </w:rPr>
        <w:t xml:space="preserve"> PTh 92 (2003), 300-305</w:t>
      </w:r>
      <w:bookmarkEnd w:id="25"/>
    </w:p>
    <w:p w14:paraId="66CE87E4" w14:textId="77777777" w:rsidR="00D177BB" w:rsidRPr="004F502E" w:rsidRDefault="00D177BB" w:rsidP="00D177BB">
      <w:pPr>
        <w:spacing w:after="0" w:line="240" w:lineRule="auto"/>
        <w:ind w:left="720" w:hanging="720"/>
        <w:rPr>
          <w:noProof/>
          <w:sz w:val="20"/>
          <w:lang w:eastAsia="de-DE"/>
        </w:rPr>
      </w:pPr>
      <w:bookmarkStart w:id="26" w:name="_ENREF_8"/>
      <w:r w:rsidRPr="004F502E">
        <w:rPr>
          <w:noProof/>
          <w:sz w:val="20"/>
          <w:lang w:eastAsia="de-DE"/>
        </w:rPr>
        <w:t xml:space="preserve">---: </w:t>
      </w:r>
      <w:r w:rsidRPr="004F502E">
        <w:rPr>
          <w:i/>
          <w:noProof/>
          <w:sz w:val="20"/>
          <w:lang w:eastAsia="de-DE"/>
        </w:rPr>
        <w:t>Praktische Theologie und Mission</w:t>
      </w:r>
      <w:r w:rsidRPr="004F502E">
        <w:rPr>
          <w:noProof/>
          <w:sz w:val="20"/>
          <w:lang w:eastAsia="de-DE"/>
        </w:rPr>
        <w:t xml:space="preserve">. In: Christian Grethlein und Helmut Schwier (Hg.): </w:t>
      </w:r>
      <w:r w:rsidRPr="004F502E">
        <w:rPr>
          <w:i/>
          <w:noProof/>
          <w:sz w:val="20"/>
          <w:lang w:eastAsia="de-DE"/>
        </w:rPr>
        <w:t xml:space="preserve">Praktische Theoogie. Eine Theorie- und Problemgeschichte. </w:t>
      </w:r>
      <w:r w:rsidRPr="004F502E">
        <w:rPr>
          <w:noProof/>
          <w:sz w:val="20"/>
          <w:lang w:eastAsia="de-DE"/>
        </w:rPr>
        <w:t xml:space="preserve">Leipzig 2007, 457-509 </w:t>
      </w:r>
      <w:bookmarkEnd w:id="26"/>
    </w:p>
    <w:p w14:paraId="1C401165" w14:textId="77777777" w:rsidR="00D177BB" w:rsidRPr="004F502E" w:rsidRDefault="00D177BB" w:rsidP="00D177BB">
      <w:pPr>
        <w:spacing w:after="0" w:line="240" w:lineRule="auto"/>
        <w:ind w:left="720" w:hanging="720"/>
        <w:rPr>
          <w:noProof/>
          <w:sz w:val="20"/>
          <w:lang w:eastAsia="de-DE"/>
        </w:rPr>
      </w:pPr>
      <w:bookmarkStart w:id="27" w:name="_ENREF_9"/>
      <w:r w:rsidRPr="004F502E">
        <w:rPr>
          <w:noProof/>
          <w:sz w:val="20"/>
          <w:lang w:eastAsia="de-DE"/>
        </w:rPr>
        <w:t xml:space="preserve">Herbst, Michael: </w:t>
      </w:r>
      <w:r w:rsidRPr="004F502E">
        <w:rPr>
          <w:i/>
          <w:noProof/>
          <w:sz w:val="20"/>
          <w:lang w:eastAsia="de-DE"/>
        </w:rPr>
        <w:t>Von Lausanne nach Kapstadt: Der 3. Kongress für Weltevangelisation in Kapstadt 2010 im Kontext der „Lausanner“ Geschichte und Theologie</w:t>
      </w:r>
      <w:r w:rsidRPr="004F502E">
        <w:rPr>
          <w:noProof/>
          <w:sz w:val="20"/>
          <w:lang w:eastAsia="de-DE"/>
        </w:rPr>
        <w:t xml:space="preserve">. In: Birgit Winterhoff, Michael Herbst und Ulf Harder (Hg.): </w:t>
      </w:r>
      <w:r w:rsidRPr="004F502E">
        <w:rPr>
          <w:i/>
          <w:noProof/>
          <w:sz w:val="20"/>
          <w:lang w:eastAsia="de-DE"/>
        </w:rPr>
        <w:t xml:space="preserve">Von Lausanne nach Kapstadt. Der dritte Kongress für Weltevangelisation. </w:t>
      </w:r>
      <w:r w:rsidRPr="004F502E">
        <w:rPr>
          <w:noProof/>
          <w:sz w:val="20"/>
          <w:lang w:eastAsia="de-DE"/>
        </w:rPr>
        <w:t xml:space="preserve">Neukirchen-Vluyn 2012, 16-42 (BEG-Praxis) </w:t>
      </w:r>
      <w:bookmarkEnd w:id="27"/>
    </w:p>
    <w:p w14:paraId="60E801D1" w14:textId="77777777" w:rsidR="00D177BB" w:rsidRPr="004F502E" w:rsidRDefault="00D177BB" w:rsidP="00D177BB">
      <w:pPr>
        <w:spacing w:after="0" w:line="240" w:lineRule="auto"/>
        <w:ind w:left="720" w:hanging="720"/>
        <w:rPr>
          <w:noProof/>
          <w:sz w:val="20"/>
          <w:lang w:eastAsia="de-DE"/>
        </w:rPr>
      </w:pPr>
      <w:bookmarkStart w:id="28" w:name="_ENREF_10"/>
      <w:r w:rsidRPr="004F502E">
        <w:rPr>
          <w:noProof/>
          <w:sz w:val="20"/>
          <w:lang w:eastAsia="de-DE"/>
        </w:rPr>
        <w:t xml:space="preserve">Hermelink, Jan, Kähler, Reinhard und Weyel, Birgit:  </w:t>
      </w:r>
      <w:r w:rsidRPr="004F502E">
        <w:rPr>
          <w:i/>
          <w:noProof/>
          <w:sz w:val="20"/>
          <w:lang w:eastAsia="de-DE"/>
        </w:rPr>
        <w:t>In der Vielfalt liegt die Stärke. Konsequente Mission oder interessierte Kommunikation - wie soll sich die Kirche orientieren?</w:t>
      </w:r>
      <w:r w:rsidRPr="004F502E">
        <w:rPr>
          <w:noProof/>
          <w:sz w:val="20"/>
          <w:lang w:eastAsia="de-DE"/>
        </w:rPr>
        <w:t xml:space="preserve"> Zeitzeichen 11 (2001), 38-40</w:t>
      </w:r>
      <w:bookmarkEnd w:id="28"/>
    </w:p>
    <w:p w14:paraId="3F9A9C9F" w14:textId="77777777" w:rsidR="00D177BB" w:rsidRPr="004F502E" w:rsidRDefault="00D177BB" w:rsidP="00D177BB">
      <w:pPr>
        <w:spacing w:after="0" w:line="240" w:lineRule="auto"/>
        <w:ind w:left="720" w:hanging="720"/>
        <w:rPr>
          <w:noProof/>
          <w:sz w:val="20"/>
          <w:lang w:eastAsia="de-DE"/>
        </w:rPr>
      </w:pPr>
      <w:bookmarkStart w:id="29" w:name="_ENREF_11"/>
      <w:r w:rsidRPr="004F502E">
        <w:rPr>
          <w:noProof/>
          <w:sz w:val="20"/>
          <w:lang w:eastAsia="de-DE"/>
        </w:rPr>
        <w:t xml:space="preserve">Hilbert, Gerhard: </w:t>
      </w:r>
      <w:r w:rsidRPr="004F502E">
        <w:rPr>
          <w:i/>
          <w:noProof/>
          <w:sz w:val="20"/>
          <w:lang w:eastAsia="de-DE"/>
        </w:rPr>
        <w:t>Volksmission und Innere Mission</w:t>
      </w:r>
      <w:r w:rsidRPr="004F502E">
        <w:rPr>
          <w:noProof/>
          <w:sz w:val="20"/>
          <w:lang w:eastAsia="de-DE"/>
        </w:rPr>
        <w:t xml:space="preserve">. Leipzig 1917 </w:t>
      </w:r>
      <w:bookmarkEnd w:id="29"/>
    </w:p>
    <w:p w14:paraId="2977569B" w14:textId="77777777" w:rsidR="00D177BB" w:rsidRPr="004F502E" w:rsidRDefault="00D177BB" w:rsidP="00D177BB">
      <w:pPr>
        <w:spacing w:after="0" w:line="240" w:lineRule="auto"/>
        <w:ind w:left="720" w:hanging="720"/>
        <w:rPr>
          <w:noProof/>
          <w:sz w:val="20"/>
          <w:lang w:eastAsia="de-DE"/>
        </w:rPr>
      </w:pPr>
      <w:bookmarkStart w:id="30" w:name="_ENREF_12"/>
      <w:r w:rsidRPr="004F502E">
        <w:rPr>
          <w:noProof/>
          <w:sz w:val="20"/>
          <w:lang w:eastAsia="de-DE"/>
        </w:rPr>
        <w:t xml:space="preserve">Hirsch, Alan: </w:t>
      </w:r>
      <w:r w:rsidRPr="004F502E">
        <w:rPr>
          <w:i/>
          <w:noProof/>
          <w:sz w:val="20"/>
          <w:lang w:eastAsia="de-DE"/>
        </w:rPr>
        <w:t>Vergessene Wege. Die Wiederentdeckung der missionalen Kraft der Kirche</w:t>
      </w:r>
      <w:r w:rsidRPr="004F502E">
        <w:rPr>
          <w:noProof/>
          <w:sz w:val="20"/>
          <w:lang w:eastAsia="de-DE"/>
        </w:rPr>
        <w:t xml:space="preserve">. Schwarzenfeld 2011 </w:t>
      </w:r>
      <w:bookmarkEnd w:id="30"/>
    </w:p>
    <w:p w14:paraId="62423FCA" w14:textId="77777777" w:rsidR="00D177BB" w:rsidRPr="004F502E" w:rsidRDefault="00D177BB" w:rsidP="00D177BB">
      <w:pPr>
        <w:spacing w:after="0" w:line="240" w:lineRule="auto"/>
        <w:ind w:left="720" w:hanging="720"/>
        <w:rPr>
          <w:noProof/>
          <w:sz w:val="20"/>
          <w:lang w:eastAsia="de-DE"/>
        </w:rPr>
      </w:pPr>
      <w:bookmarkStart w:id="31" w:name="_ENREF_13"/>
      <w:r w:rsidRPr="004F502E">
        <w:rPr>
          <w:noProof/>
          <w:sz w:val="20"/>
          <w:lang w:eastAsia="de-DE"/>
        </w:rPr>
        <w:t xml:space="preserve">Huber, Wolfgang:  </w:t>
      </w:r>
      <w:r w:rsidRPr="004F502E">
        <w:rPr>
          <w:i/>
          <w:noProof/>
          <w:sz w:val="20"/>
          <w:lang w:eastAsia="de-DE"/>
        </w:rPr>
        <w:t>"Du stellst unsere Füße auf weiten Raum". Rede zur Eröffnung der Zukunftswerkstatt am 24. September 2004 in Kassel</w:t>
      </w:r>
      <w:r w:rsidRPr="004F502E">
        <w:rPr>
          <w:noProof/>
          <w:sz w:val="20"/>
          <w:lang w:eastAsia="de-DE"/>
        </w:rPr>
        <w:t>. ThBeitr 41 (2010), 68-78</w:t>
      </w:r>
      <w:bookmarkEnd w:id="31"/>
    </w:p>
    <w:p w14:paraId="22960D2A" w14:textId="77777777" w:rsidR="00D177BB" w:rsidRPr="004F502E" w:rsidRDefault="00D177BB" w:rsidP="00D177BB">
      <w:pPr>
        <w:spacing w:after="0" w:line="240" w:lineRule="auto"/>
        <w:ind w:left="720" w:hanging="720"/>
        <w:rPr>
          <w:noProof/>
          <w:sz w:val="20"/>
          <w:lang w:eastAsia="de-DE"/>
        </w:rPr>
      </w:pPr>
      <w:bookmarkStart w:id="32" w:name="_ENREF_14"/>
      <w:r w:rsidRPr="004F502E">
        <w:rPr>
          <w:noProof/>
          <w:sz w:val="20"/>
          <w:lang w:eastAsia="de-DE"/>
        </w:rPr>
        <w:t xml:space="preserve">Kähler, Reinhard:  </w:t>
      </w:r>
      <w:r w:rsidRPr="004F502E">
        <w:rPr>
          <w:i/>
          <w:noProof/>
          <w:sz w:val="20"/>
          <w:lang w:eastAsia="de-DE"/>
        </w:rPr>
        <w:t>Missionarische Kompetenz</w:t>
      </w:r>
      <w:r w:rsidRPr="004F502E">
        <w:rPr>
          <w:noProof/>
          <w:sz w:val="20"/>
          <w:lang w:eastAsia="de-DE"/>
        </w:rPr>
        <w:t>. PTh 91 (2002), 137-145</w:t>
      </w:r>
      <w:bookmarkEnd w:id="32"/>
    </w:p>
    <w:p w14:paraId="7183C37F" w14:textId="77777777" w:rsidR="00D177BB" w:rsidRPr="004F502E" w:rsidRDefault="00D177BB" w:rsidP="00D177BB">
      <w:pPr>
        <w:spacing w:after="0" w:line="240" w:lineRule="auto"/>
        <w:ind w:left="720" w:hanging="720"/>
        <w:rPr>
          <w:noProof/>
          <w:sz w:val="20"/>
          <w:lang w:eastAsia="de-DE"/>
        </w:rPr>
      </w:pPr>
      <w:bookmarkStart w:id="33" w:name="_ENREF_15"/>
      <w:r w:rsidRPr="004F502E">
        <w:rPr>
          <w:noProof/>
          <w:sz w:val="20"/>
          <w:lang w:eastAsia="de-DE"/>
        </w:rPr>
        <w:t xml:space="preserve">Ökumenischer Rat der Kirchen, Päpstlicher Rat für den interreligiösen Dialog und Weltweite Evangelische Allianz (Hg.): </w:t>
      </w:r>
      <w:r w:rsidRPr="004F502E">
        <w:rPr>
          <w:i/>
          <w:noProof/>
          <w:sz w:val="20"/>
          <w:lang w:eastAsia="de-DE"/>
        </w:rPr>
        <w:t>Das christliche Zeugnis in einer multireligiösen Welt. Empfehlungen für einen Verhaltenskodex</w:t>
      </w:r>
      <w:r w:rsidRPr="004F502E">
        <w:rPr>
          <w:noProof/>
          <w:sz w:val="20"/>
          <w:lang w:eastAsia="de-DE"/>
        </w:rPr>
        <w:t xml:space="preserve">. Genf 2011 </w:t>
      </w:r>
      <w:bookmarkEnd w:id="33"/>
    </w:p>
    <w:p w14:paraId="66EFC4AA" w14:textId="77777777" w:rsidR="00D177BB" w:rsidRPr="004F502E" w:rsidRDefault="00D177BB" w:rsidP="00D177BB">
      <w:pPr>
        <w:spacing w:after="0" w:line="240" w:lineRule="auto"/>
        <w:ind w:left="720" w:hanging="720"/>
        <w:rPr>
          <w:noProof/>
          <w:sz w:val="20"/>
          <w:lang w:eastAsia="de-DE"/>
        </w:rPr>
      </w:pPr>
      <w:bookmarkStart w:id="34" w:name="_ENREF_16"/>
      <w:r w:rsidRPr="004F502E">
        <w:rPr>
          <w:noProof/>
          <w:sz w:val="20"/>
          <w:lang w:eastAsia="de-DE"/>
        </w:rPr>
        <w:t xml:space="preserve">Knieling, Reiner:  </w:t>
      </w:r>
      <w:r w:rsidRPr="004F502E">
        <w:rPr>
          <w:i/>
          <w:noProof/>
          <w:sz w:val="20"/>
          <w:lang w:eastAsia="de-DE"/>
        </w:rPr>
        <w:t>Wahrnehmung und Mission</w:t>
      </w:r>
      <w:r w:rsidRPr="004F502E">
        <w:rPr>
          <w:noProof/>
          <w:sz w:val="20"/>
          <w:lang w:eastAsia="de-DE"/>
        </w:rPr>
        <w:t>. PTh 92 (2003), 287-299</w:t>
      </w:r>
      <w:bookmarkEnd w:id="34"/>
    </w:p>
    <w:p w14:paraId="17588C65" w14:textId="77777777" w:rsidR="00D177BB" w:rsidRPr="004F502E" w:rsidRDefault="00D177BB" w:rsidP="00D177BB">
      <w:pPr>
        <w:spacing w:after="0" w:line="240" w:lineRule="auto"/>
        <w:ind w:left="720" w:hanging="720"/>
        <w:rPr>
          <w:noProof/>
          <w:sz w:val="20"/>
          <w:lang w:eastAsia="de-DE"/>
        </w:rPr>
      </w:pPr>
      <w:bookmarkStart w:id="35" w:name="_ENREF_17"/>
      <w:r w:rsidRPr="004F502E">
        <w:rPr>
          <w:noProof/>
          <w:sz w:val="20"/>
          <w:lang w:eastAsia="de-DE"/>
        </w:rPr>
        <w:t xml:space="preserve">Kretzschmar, Gerald:  </w:t>
      </w:r>
      <w:r w:rsidRPr="004F502E">
        <w:rPr>
          <w:i/>
          <w:noProof/>
          <w:sz w:val="20"/>
          <w:lang w:eastAsia="de-DE"/>
        </w:rPr>
        <w:t>Wahrnehmung statt Mission</w:t>
      </w:r>
      <w:r w:rsidRPr="004F502E">
        <w:rPr>
          <w:noProof/>
          <w:sz w:val="20"/>
          <w:lang w:eastAsia="de-DE"/>
        </w:rPr>
        <w:t>. PTh 91 (2002), 328-343</w:t>
      </w:r>
      <w:bookmarkEnd w:id="35"/>
    </w:p>
    <w:p w14:paraId="3B0EC1FA" w14:textId="77777777" w:rsidR="00D177BB" w:rsidRPr="004F502E" w:rsidRDefault="00D177BB" w:rsidP="00D177BB">
      <w:pPr>
        <w:spacing w:after="0" w:line="240" w:lineRule="auto"/>
        <w:ind w:left="720" w:hanging="720"/>
        <w:rPr>
          <w:noProof/>
          <w:sz w:val="20"/>
          <w:lang w:eastAsia="de-DE"/>
        </w:rPr>
      </w:pPr>
      <w:bookmarkStart w:id="36" w:name="_ENREF_18"/>
      <w:r w:rsidRPr="004F502E">
        <w:rPr>
          <w:noProof/>
          <w:sz w:val="20"/>
          <w:lang w:eastAsia="de-DE"/>
        </w:rPr>
        <w:t xml:space="preserve">Moltmann, Jürgen: </w:t>
      </w:r>
      <w:r w:rsidRPr="004F502E">
        <w:rPr>
          <w:i/>
          <w:noProof/>
          <w:sz w:val="20"/>
          <w:lang w:eastAsia="de-DE"/>
        </w:rPr>
        <w:t>Der gekreuzigte Gott. Das Kreuz Christi als Grund und Kritik christlicher Theologie</w:t>
      </w:r>
      <w:r w:rsidRPr="004F502E">
        <w:rPr>
          <w:noProof/>
          <w:sz w:val="20"/>
          <w:lang w:eastAsia="de-DE"/>
        </w:rPr>
        <w:t xml:space="preserve">. München 1972 </w:t>
      </w:r>
      <w:bookmarkEnd w:id="36"/>
    </w:p>
    <w:p w14:paraId="40347201" w14:textId="77777777" w:rsidR="00D177BB" w:rsidRPr="00944A88" w:rsidRDefault="00D177BB" w:rsidP="00D177BB">
      <w:pPr>
        <w:spacing w:after="0" w:line="240" w:lineRule="auto"/>
        <w:ind w:left="720" w:hanging="720"/>
        <w:rPr>
          <w:b/>
          <w:noProof/>
          <w:sz w:val="20"/>
          <w:lang w:eastAsia="de-DE"/>
        </w:rPr>
      </w:pPr>
      <w:bookmarkStart w:id="37" w:name="_ENREF_19"/>
      <w:r w:rsidRPr="00944A88">
        <w:rPr>
          <w:b/>
          <w:noProof/>
          <w:sz w:val="20"/>
          <w:lang w:eastAsia="de-DE"/>
        </w:rPr>
        <w:t xml:space="preserve">Moynagh, Michael: </w:t>
      </w:r>
      <w:r w:rsidRPr="00944A88">
        <w:rPr>
          <w:b/>
          <w:i/>
          <w:noProof/>
          <w:sz w:val="20"/>
          <w:lang w:eastAsia="de-DE"/>
        </w:rPr>
        <w:t>Church for every context. An introduction to theology and practice</w:t>
      </w:r>
      <w:r w:rsidRPr="00944A88">
        <w:rPr>
          <w:b/>
          <w:noProof/>
          <w:sz w:val="20"/>
          <w:lang w:eastAsia="de-DE"/>
        </w:rPr>
        <w:t xml:space="preserve">. London 2012 </w:t>
      </w:r>
      <w:bookmarkEnd w:id="37"/>
    </w:p>
    <w:p w14:paraId="37067691" w14:textId="77777777" w:rsidR="00D177BB" w:rsidRPr="004F502E" w:rsidRDefault="00D177BB" w:rsidP="00D177BB">
      <w:pPr>
        <w:spacing w:after="0" w:line="240" w:lineRule="auto"/>
        <w:ind w:left="720" w:hanging="720"/>
        <w:rPr>
          <w:noProof/>
          <w:sz w:val="20"/>
          <w:lang w:eastAsia="de-DE"/>
        </w:rPr>
      </w:pPr>
      <w:bookmarkStart w:id="38" w:name="_ENREF_20"/>
      <w:r w:rsidRPr="004F502E">
        <w:rPr>
          <w:noProof/>
          <w:sz w:val="20"/>
          <w:lang w:eastAsia="de-DE"/>
        </w:rPr>
        <w:t xml:space="preserve">Otto, Gert: </w:t>
      </w:r>
      <w:r w:rsidRPr="004F502E">
        <w:rPr>
          <w:i/>
          <w:noProof/>
          <w:sz w:val="20"/>
          <w:lang w:eastAsia="de-DE"/>
        </w:rPr>
        <w:t>Handlungsfelder der Praktischen Theologie</w:t>
      </w:r>
      <w:r w:rsidRPr="004F502E">
        <w:rPr>
          <w:noProof/>
          <w:sz w:val="20"/>
          <w:lang w:eastAsia="de-DE"/>
        </w:rPr>
        <w:t xml:space="preserve">. München 1988 </w:t>
      </w:r>
      <w:bookmarkEnd w:id="38"/>
    </w:p>
    <w:p w14:paraId="0DFF693A" w14:textId="77777777" w:rsidR="00D177BB" w:rsidRPr="004F502E" w:rsidRDefault="00D177BB" w:rsidP="00D177BB">
      <w:pPr>
        <w:spacing w:after="0" w:line="240" w:lineRule="auto"/>
        <w:ind w:left="720" w:hanging="720"/>
        <w:rPr>
          <w:noProof/>
          <w:sz w:val="20"/>
          <w:lang w:eastAsia="de-DE"/>
        </w:rPr>
      </w:pPr>
      <w:bookmarkStart w:id="39" w:name="_ENREF_21"/>
      <w:r w:rsidRPr="004F502E">
        <w:rPr>
          <w:noProof/>
          <w:sz w:val="20"/>
          <w:lang w:eastAsia="de-DE"/>
        </w:rPr>
        <w:t xml:space="preserve">Padilla, René: </w:t>
      </w:r>
      <w:r w:rsidRPr="004F502E">
        <w:rPr>
          <w:i/>
          <w:noProof/>
          <w:sz w:val="20"/>
          <w:lang w:eastAsia="de-DE"/>
        </w:rPr>
        <w:t>Evangelisation und die Welt</w:t>
      </w:r>
      <w:r w:rsidRPr="004F502E">
        <w:rPr>
          <w:noProof/>
          <w:sz w:val="20"/>
          <w:lang w:eastAsia="de-DE"/>
        </w:rPr>
        <w:t xml:space="preserve">. In: </w:t>
      </w:r>
      <w:r w:rsidRPr="004F502E">
        <w:rPr>
          <w:i/>
          <w:noProof/>
          <w:sz w:val="20"/>
          <w:lang w:eastAsia="de-DE"/>
        </w:rPr>
        <w:t xml:space="preserve">Alle Welt soll sein Wort hören. Lausanne-Dokumente. </w:t>
      </w:r>
      <w:r w:rsidRPr="004F502E">
        <w:rPr>
          <w:noProof/>
          <w:sz w:val="20"/>
          <w:lang w:eastAsia="de-DE"/>
        </w:rPr>
        <w:t xml:space="preserve">Neuhausen und Stuttgart 1974, 146-194 </w:t>
      </w:r>
      <w:bookmarkEnd w:id="39"/>
    </w:p>
    <w:p w14:paraId="1A7493AA" w14:textId="77777777" w:rsidR="00D177BB" w:rsidRPr="004F502E" w:rsidRDefault="00D177BB" w:rsidP="00D177BB">
      <w:pPr>
        <w:spacing w:after="0" w:line="240" w:lineRule="auto"/>
        <w:ind w:left="720" w:hanging="720"/>
        <w:rPr>
          <w:noProof/>
          <w:sz w:val="20"/>
          <w:lang w:eastAsia="de-DE"/>
        </w:rPr>
      </w:pPr>
      <w:bookmarkStart w:id="40" w:name="_ENREF_22"/>
      <w:r w:rsidRPr="004F502E">
        <w:rPr>
          <w:noProof/>
          <w:sz w:val="20"/>
          <w:lang w:eastAsia="de-DE"/>
        </w:rPr>
        <w:t xml:space="preserve">Ratzmann, Wolfgang:  </w:t>
      </w:r>
      <w:r w:rsidRPr="004F502E">
        <w:rPr>
          <w:i/>
          <w:noProof/>
          <w:sz w:val="20"/>
          <w:lang w:eastAsia="de-DE"/>
        </w:rPr>
        <w:t>Das Spannungsfeld Mission in der Praktischen Theologie</w:t>
      </w:r>
      <w:r w:rsidRPr="004F502E">
        <w:rPr>
          <w:noProof/>
          <w:sz w:val="20"/>
          <w:lang w:eastAsia="de-DE"/>
        </w:rPr>
        <w:t>. ZMiss 38 (2012), 302-317</w:t>
      </w:r>
      <w:bookmarkEnd w:id="40"/>
    </w:p>
    <w:p w14:paraId="0551A013" w14:textId="77777777" w:rsidR="00D177BB" w:rsidRPr="004F502E" w:rsidRDefault="00D177BB" w:rsidP="00D177BB">
      <w:pPr>
        <w:spacing w:after="0" w:line="240" w:lineRule="auto"/>
        <w:ind w:left="720" w:hanging="720"/>
        <w:rPr>
          <w:noProof/>
          <w:sz w:val="20"/>
          <w:lang w:eastAsia="de-DE"/>
        </w:rPr>
      </w:pPr>
      <w:bookmarkStart w:id="41" w:name="_ENREF_23"/>
      <w:r w:rsidRPr="004F502E">
        <w:rPr>
          <w:noProof/>
          <w:sz w:val="20"/>
          <w:lang w:eastAsia="de-DE"/>
        </w:rPr>
        <w:t xml:space="preserve">Reppenhagen, Martin: </w:t>
      </w:r>
      <w:r w:rsidRPr="004F502E">
        <w:rPr>
          <w:i/>
          <w:noProof/>
          <w:sz w:val="20"/>
          <w:lang w:eastAsia="de-DE"/>
        </w:rPr>
        <w:t>Auf dem Weg zu einer missionalen Kirche. Diskussion um eine 'Missional Church' in den USA</w:t>
      </w:r>
      <w:r w:rsidRPr="004F502E">
        <w:rPr>
          <w:noProof/>
          <w:sz w:val="20"/>
          <w:lang w:eastAsia="de-DE"/>
        </w:rPr>
        <w:t>. Neukirchen-Vluyn 2011 (BEG Bd. 17)</w:t>
      </w:r>
      <w:bookmarkEnd w:id="41"/>
    </w:p>
    <w:p w14:paraId="2776BF09" w14:textId="77777777" w:rsidR="00D177BB" w:rsidRPr="004F502E" w:rsidRDefault="00D177BB" w:rsidP="00D177BB">
      <w:pPr>
        <w:spacing w:after="0" w:line="240" w:lineRule="auto"/>
        <w:ind w:left="720" w:hanging="720"/>
        <w:rPr>
          <w:noProof/>
          <w:sz w:val="20"/>
          <w:lang w:eastAsia="de-DE"/>
        </w:rPr>
      </w:pPr>
      <w:bookmarkStart w:id="42" w:name="_ENREF_24"/>
      <w:r w:rsidRPr="004F502E">
        <w:rPr>
          <w:noProof/>
          <w:sz w:val="20"/>
          <w:lang w:eastAsia="de-DE"/>
        </w:rPr>
        <w:t xml:space="preserve">Rössler, Dietrich: </w:t>
      </w:r>
      <w:r w:rsidRPr="004F502E">
        <w:rPr>
          <w:i/>
          <w:noProof/>
          <w:sz w:val="20"/>
          <w:lang w:eastAsia="de-DE"/>
        </w:rPr>
        <w:t>Grundriss der Praktischen Theologie</w:t>
      </w:r>
      <w:r w:rsidRPr="004F502E">
        <w:rPr>
          <w:noProof/>
          <w:sz w:val="20"/>
          <w:lang w:eastAsia="de-DE"/>
        </w:rPr>
        <w:t xml:space="preserve">. Berlin und New York 1986 </w:t>
      </w:r>
      <w:bookmarkEnd w:id="42"/>
    </w:p>
    <w:p w14:paraId="118B96B6" w14:textId="77777777" w:rsidR="00D177BB" w:rsidRPr="004F502E" w:rsidRDefault="00D177BB" w:rsidP="00D177BB">
      <w:pPr>
        <w:spacing w:after="0" w:line="240" w:lineRule="auto"/>
        <w:ind w:left="720" w:hanging="720"/>
        <w:rPr>
          <w:noProof/>
          <w:sz w:val="20"/>
          <w:lang w:eastAsia="de-DE"/>
        </w:rPr>
      </w:pPr>
      <w:bookmarkStart w:id="43" w:name="_ENREF_25"/>
      <w:r w:rsidRPr="004F502E">
        <w:rPr>
          <w:noProof/>
          <w:sz w:val="20"/>
          <w:lang w:eastAsia="de-DE"/>
        </w:rPr>
        <w:t xml:space="preserve">Sauter, Gerhard: </w:t>
      </w:r>
      <w:r w:rsidRPr="004F502E">
        <w:rPr>
          <w:i/>
          <w:noProof/>
          <w:sz w:val="20"/>
          <w:lang w:eastAsia="de-DE"/>
        </w:rPr>
        <w:t>Zugänge zur Dogmatik</w:t>
      </w:r>
      <w:r w:rsidRPr="004F502E">
        <w:rPr>
          <w:noProof/>
          <w:sz w:val="20"/>
          <w:lang w:eastAsia="de-DE"/>
        </w:rPr>
        <w:t xml:space="preserve">. Göttingen 1998 </w:t>
      </w:r>
      <w:bookmarkEnd w:id="43"/>
    </w:p>
    <w:p w14:paraId="332180CF" w14:textId="77777777" w:rsidR="00D177BB" w:rsidRPr="004F502E" w:rsidRDefault="00D177BB" w:rsidP="00D177BB">
      <w:pPr>
        <w:spacing w:after="0" w:line="240" w:lineRule="auto"/>
        <w:ind w:left="720" w:hanging="720"/>
        <w:rPr>
          <w:noProof/>
          <w:sz w:val="20"/>
          <w:lang w:eastAsia="de-DE"/>
        </w:rPr>
      </w:pPr>
      <w:bookmarkStart w:id="44" w:name="_ENREF_26"/>
      <w:r w:rsidRPr="004F502E">
        <w:rPr>
          <w:noProof/>
          <w:sz w:val="20"/>
          <w:lang w:eastAsia="de-DE"/>
        </w:rPr>
        <w:t xml:space="preserve">Sellmann, Matthias: </w:t>
      </w:r>
      <w:r w:rsidRPr="004F502E">
        <w:rPr>
          <w:i/>
          <w:noProof/>
          <w:sz w:val="20"/>
          <w:lang w:eastAsia="de-DE"/>
        </w:rPr>
        <w:t>Deutschland - Missionsland? Zur Überwindung eines pastoralen Tabus</w:t>
      </w:r>
      <w:r w:rsidRPr="004F502E">
        <w:rPr>
          <w:noProof/>
          <w:sz w:val="20"/>
          <w:lang w:eastAsia="de-DE"/>
        </w:rPr>
        <w:t xml:space="preserve">. Freiburg/Br. 2004 </w:t>
      </w:r>
      <w:bookmarkEnd w:id="44"/>
    </w:p>
    <w:p w14:paraId="275763FC" w14:textId="77777777" w:rsidR="00D177BB" w:rsidRPr="004F502E" w:rsidRDefault="00D177BB" w:rsidP="00D177BB">
      <w:pPr>
        <w:spacing w:after="0" w:line="240" w:lineRule="auto"/>
        <w:ind w:left="720" w:hanging="720"/>
        <w:rPr>
          <w:noProof/>
          <w:sz w:val="20"/>
          <w:lang w:eastAsia="de-DE"/>
        </w:rPr>
      </w:pPr>
      <w:bookmarkStart w:id="45" w:name="_ENREF_27"/>
      <w:r w:rsidRPr="004F502E">
        <w:rPr>
          <w:noProof/>
          <w:sz w:val="20"/>
          <w:lang w:eastAsia="de-DE"/>
        </w:rPr>
        <w:t xml:space="preserve">Steck, Wolfgang: </w:t>
      </w:r>
      <w:r w:rsidRPr="004F502E">
        <w:rPr>
          <w:i/>
          <w:noProof/>
          <w:sz w:val="20"/>
          <w:lang w:eastAsia="de-DE"/>
        </w:rPr>
        <w:t>Praktische Theologie. Horizonte der Religion. Konturen des neuzeitlichen Christentums: Strukturen der religiösen Lebenswelt. Band 1</w:t>
      </w:r>
      <w:r w:rsidRPr="004F502E">
        <w:rPr>
          <w:noProof/>
          <w:sz w:val="20"/>
          <w:lang w:eastAsia="de-DE"/>
        </w:rPr>
        <w:t xml:space="preserve">. Stuttgart 2000 </w:t>
      </w:r>
      <w:bookmarkEnd w:id="45"/>
    </w:p>
    <w:p w14:paraId="5EA38BC5" w14:textId="77777777" w:rsidR="00D177BB" w:rsidRPr="004F502E" w:rsidRDefault="00D177BB" w:rsidP="00D177BB">
      <w:pPr>
        <w:spacing w:after="0" w:line="240" w:lineRule="auto"/>
        <w:ind w:left="720" w:hanging="720"/>
        <w:rPr>
          <w:noProof/>
          <w:sz w:val="20"/>
          <w:lang w:eastAsia="de-DE"/>
        </w:rPr>
      </w:pPr>
      <w:bookmarkStart w:id="46" w:name="_ENREF_28"/>
      <w:r w:rsidRPr="004F502E">
        <w:rPr>
          <w:noProof/>
          <w:sz w:val="20"/>
          <w:lang w:eastAsia="de-DE"/>
        </w:rPr>
        <w:t xml:space="preserve">Stott, John: </w:t>
      </w:r>
      <w:r w:rsidRPr="004F502E">
        <w:rPr>
          <w:i/>
          <w:noProof/>
          <w:sz w:val="20"/>
          <w:lang w:eastAsia="de-DE"/>
        </w:rPr>
        <w:t>Die biblische Grundlage der Evangelisation</w:t>
      </w:r>
      <w:r w:rsidRPr="004F502E">
        <w:rPr>
          <w:noProof/>
          <w:sz w:val="20"/>
          <w:lang w:eastAsia="de-DE"/>
        </w:rPr>
        <w:t xml:space="preserve">. In: </w:t>
      </w:r>
      <w:r w:rsidRPr="004F502E">
        <w:rPr>
          <w:i/>
          <w:noProof/>
          <w:sz w:val="20"/>
          <w:lang w:eastAsia="de-DE"/>
        </w:rPr>
        <w:t xml:space="preserve">Alle Welt soll sein Wort hören. Lausanne-Dokumente. </w:t>
      </w:r>
      <w:r w:rsidRPr="004F502E">
        <w:rPr>
          <w:noProof/>
          <w:sz w:val="20"/>
          <w:lang w:eastAsia="de-DE"/>
        </w:rPr>
        <w:t xml:space="preserve">Neuhausen und Stuttgart 1974, 60-84 </w:t>
      </w:r>
      <w:bookmarkEnd w:id="46"/>
    </w:p>
    <w:p w14:paraId="4335DA82" w14:textId="77777777" w:rsidR="00D177BB" w:rsidRPr="004F502E" w:rsidRDefault="00D177BB" w:rsidP="00D177BB">
      <w:pPr>
        <w:spacing w:after="0" w:line="240" w:lineRule="auto"/>
        <w:ind w:left="720" w:hanging="720"/>
        <w:rPr>
          <w:noProof/>
          <w:sz w:val="20"/>
          <w:lang w:eastAsia="de-DE"/>
        </w:rPr>
      </w:pPr>
      <w:bookmarkStart w:id="47" w:name="_ENREF_29"/>
      <w:r w:rsidRPr="004F502E">
        <w:rPr>
          <w:noProof/>
          <w:sz w:val="20"/>
          <w:lang w:eastAsia="de-DE"/>
        </w:rPr>
        <w:t xml:space="preserve">Sundermeier, Theo: </w:t>
      </w:r>
      <w:r w:rsidRPr="004F502E">
        <w:rPr>
          <w:i/>
          <w:noProof/>
          <w:sz w:val="20"/>
          <w:lang w:eastAsia="de-DE"/>
        </w:rPr>
        <w:t>Mission und Dialog in der pluralistischen Gesellschaft</w:t>
      </w:r>
      <w:r w:rsidRPr="004F502E">
        <w:rPr>
          <w:noProof/>
          <w:sz w:val="20"/>
          <w:lang w:eastAsia="de-DE"/>
        </w:rPr>
        <w:t xml:space="preserve">. In: Andreas Feldtkeller und Theo Sundermeier (Hg.): </w:t>
      </w:r>
      <w:r w:rsidRPr="004F502E">
        <w:rPr>
          <w:i/>
          <w:noProof/>
          <w:sz w:val="20"/>
          <w:lang w:eastAsia="de-DE"/>
        </w:rPr>
        <w:t xml:space="preserve">Mission in pluralistischer Gesellschaft. </w:t>
      </w:r>
      <w:r w:rsidRPr="004F502E">
        <w:rPr>
          <w:noProof/>
          <w:sz w:val="20"/>
          <w:lang w:eastAsia="de-DE"/>
        </w:rPr>
        <w:t xml:space="preserve">Frankfurt/M. 1999, 11-25 </w:t>
      </w:r>
      <w:bookmarkEnd w:id="47"/>
    </w:p>
    <w:p w14:paraId="040C942F" w14:textId="77777777" w:rsidR="00D177BB" w:rsidRPr="004F502E" w:rsidRDefault="00D177BB" w:rsidP="00D177BB">
      <w:pPr>
        <w:spacing w:after="0" w:line="240" w:lineRule="auto"/>
        <w:ind w:left="720" w:hanging="720"/>
        <w:rPr>
          <w:noProof/>
          <w:sz w:val="20"/>
          <w:lang w:eastAsia="de-DE"/>
        </w:rPr>
      </w:pPr>
      <w:bookmarkStart w:id="48" w:name="_ENREF_30"/>
      <w:r w:rsidRPr="004F502E">
        <w:rPr>
          <w:noProof/>
          <w:sz w:val="20"/>
          <w:lang w:eastAsia="de-DE"/>
        </w:rPr>
        <w:t xml:space="preserve">Wright, Christopher J.H.: </w:t>
      </w:r>
      <w:r w:rsidRPr="004F502E">
        <w:rPr>
          <w:i/>
          <w:noProof/>
          <w:sz w:val="20"/>
          <w:lang w:eastAsia="de-DE"/>
        </w:rPr>
        <w:t>The Mission of God's People. A Biblical Theology of the Church's Mission</w:t>
      </w:r>
      <w:r w:rsidRPr="004F502E">
        <w:rPr>
          <w:noProof/>
          <w:sz w:val="20"/>
          <w:lang w:eastAsia="de-DE"/>
        </w:rPr>
        <w:t xml:space="preserve">. Grand Rapids 2010 (Biblical Theology for Life) </w:t>
      </w:r>
      <w:bookmarkEnd w:id="48"/>
    </w:p>
    <w:p w14:paraId="719D7237" w14:textId="77777777" w:rsidR="00D177BB" w:rsidRPr="00CE35E7" w:rsidRDefault="00D177BB" w:rsidP="00D177BB">
      <w:pPr>
        <w:spacing w:after="0" w:line="240" w:lineRule="auto"/>
        <w:ind w:left="720" w:hanging="720"/>
        <w:rPr>
          <w:lang w:eastAsia="de-DE"/>
        </w:rPr>
      </w:pPr>
      <w:bookmarkStart w:id="49" w:name="_ENREF_31"/>
      <w:r w:rsidRPr="004F502E">
        <w:rPr>
          <w:noProof/>
          <w:sz w:val="20"/>
          <w:lang w:eastAsia="de-DE"/>
        </w:rPr>
        <w:t xml:space="preserve">Wrogemann, Henning:  </w:t>
      </w:r>
      <w:r w:rsidRPr="004F502E">
        <w:rPr>
          <w:i/>
          <w:noProof/>
          <w:sz w:val="20"/>
          <w:lang w:eastAsia="de-DE"/>
        </w:rPr>
        <w:t>„Mission“ als Thema und Desiderat Systematischer Theologie</w:t>
      </w:r>
      <w:r w:rsidRPr="004F502E">
        <w:rPr>
          <w:noProof/>
          <w:sz w:val="20"/>
          <w:lang w:eastAsia="de-DE"/>
        </w:rPr>
        <w:t>. VuF 49 (2004), 3-22</w:t>
      </w:r>
      <w:bookmarkEnd w:id="49"/>
      <w:r w:rsidRPr="004F502E">
        <w:rPr>
          <w:sz w:val="20"/>
          <w:lang w:eastAsia="de-DE"/>
        </w:rPr>
        <w:fldChar w:fldCharType="end"/>
      </w:r>
    </w:p>
    <w:p w14:paraId="40338916" w14:textId="77777777" w:rsidR="00D46D05" w:rsidRPr="003E3366" w:rsidRDefault="00D46D05" w:rsidP="00D177BB">
      <w:pPr>
        <w:pStyle w:val="berschrift1"/>
        <w:rPr>
          <w:rFonts w:eastAsia="Calibri"/>
          <w:color w:val="auto"/>
          <w:sz w:val="24"/>
          <w:szCs w:val="24"/>
        </w:rPr>
      </w:pPr>
      <w:bookmarkStart w:id="50" w:name="_GoBack"/>
      <w:bookmarkEnd w:id="50"/>
    </w:p>
    <w:sectPr w:rsidR="00D46D05" w:rsidRPr="003E3366" w:rsidSect="0032199B">
      <w:headerReference w:type="default" r:id="rId13"/>
      <w:footerReference w:type="even" r:id="rId14"/>
      <w:footerReference w:type="default" r:id="rId15"/>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133E1" w14:textId="77777777" w:rsidR="00EB4225" w:rsidRDefault="00EB4225" w:rsidP="000D11E1">
      <w:pPr>
        <w:spacing w:after="0" w:line="240" w:lineRule="auto"/>
      </w:pPr>
      <w:r>
        <w:separator/>
      </w:r>
    </w:p>
  </w:endnote>
  <w:endnote w:type="continuationSeparator" w:id="0">
    <w:p w14:paraId="33E97B35" w14:textId="77777777" w:rsidR="00EB4225" w:rsidRDefault="00EB4225"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85DC3" w14:textId="77777777" w:rsidR="00EB4225" w:rsidRDefault="00EB4225"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001E9D7" w14:textId="77777777" w:rsidR="00EB4225" w:rsidRDefault="00EB4225"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7ABD3" w14:textId="77777777" w:rsidR="00EB4225" w:rsidRPr="00496B32" w:rsidRDefault="00EB4225" w:rsidP="0022019D">
    <w:pPr>
      <w:pStyle w:val="Fuzeile"/>
      <w:ind w:right="360"/>
      <w:jc w:val="right"/>
      <w:rPr>
        <w:sz w:val="20"/>
        <w:szCs w:val="20"/>
      </w:rPr>
    </w:pPr>
    <w:r>
      <w:fldChar w:fldCharType="begin"/>
    </w:r>
    <w:r>
      <w:instrText xml:space="preserve"> PAGE  \* MERGEFORMAT </w:instrText>
    </w:r>
    <w:r>
      <w:fldChar w:fldCharType="separate"/>
    </w:r>
    <w:r w:rsidR="00944A88" w:rsidRPr="00944A88">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26B0295D" wp14:editId="4F2FAF39">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5197AC52" w14:textId="77777777" w:rsidR="00EB4225" w:rsidRPr="00496B32" w:rsidRDefault="00EB4225" w:rsidP="000D11E1">
    <w:pPr>
      <w:pStyle w:val="Fuzeile"/>
      <w:rPr>
        <w:sz w:val="16"/>
        <w:szCs w:val="16"/>
      </w:rPr>
    </w:pPr>
    <w:r>
      <w:rPr>
        <w:sz w:val="16"/>
        <w:szCs w:val="16"/>
      </w:rPr>
      <w:t>7. Dezember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9B98C" w14:textId="77777777" w:rsidR="00EB4225" w:rsidRDefault="00EB4225" w:rsidP="000D11E1">
      <w:pPr>
        <w:spacing w:after="0" w:line="240" w:lineRule="auto"/>
      </w:pPr>
      <w:r>
        <w:separator/>
      </w:r>
    </w:p>
  </w:footnote>
  <w:footnote w:type="continuationSeparator" w:id="0">
    <w:p w14:paraId="114AF40C" w14:textId="77777777" w:rsidR="00EB4225" w:rsidRDefault="00EB4225" w:rsidP="000D11E1">
      <w:pPr>
        <w:spacing w:after="0" w:line="240" w:lineRule="auto"/>
      </w:pPr>
      <w:r>
        <w:continuationSeparator/>
      </w:r>
    </w:p>
  </w:footnote>
  <w:footnote w:id="1">
    <w:p w14:paraId="736200C2" w14:textId="77777777" w:rsidR="00EB4225" w:rsidRDefault="00EB4225" w:rsidP="00D177BB">
      <w:pPr>
        <w:pStyle w:val="Funotentext"/>
      </w:pPr>
      <w:r>
        <w:rPr>
          <w:rStyle w:val="Funotenzeichen"/>
        </w:rPr>
        <w:footnoteRef/>
      </w:r>
      <w:r>
        <w:t xml:space="preserve"> Vgl. </w:t>
      </w:r>
      <w:r>
        <w:fldChar w:fldCharType="begin"/>
      </w:r>
      <w:r>
        <w:instrText xml:space="preserve"> ADDIN EN.CITE &lt;EndNote&gt;&lt;Cite&gt;&lt;Author&gt;Hilbert&lt;/Author&gt;&lt;Year&gt;1917&lt;/Year&gt;&lt;RecNum&gt;2104&lt;/RecNum&gt;&lt;DisplayText&gt;Gerhard Hilbert 1917&lt;/DisplayText&gt;&lt;record&gt;&lt;rec-number&gt;2104&lt;/rec-number&gt;&lt;foreign-keys&gt;&lt;key app="EN" db-id="0t0dxv9vetdatmef0a959d9wdwf995aa9dxw"&gt;2104&lt;/key&gt;&lt;/foreign-keys&gt;&lt;ref-type name="Book"&gt;6&lt;/ref-type&gt;&lt;contributors&gt;&lt;authors&gt;&lt;author&gt;Gerhard Hilbert&lt;/author&gt;&lt;/authors&gt;&lt;/contributors&gt;&lt;titles&gt;&lt;title&gt;Volksmission und Innere Mission&lt;/title&gt;&lt;/titles&gt;&lt;dates&gt;&lt;year&gt;1917&lt;/year&gt;&lt;/dates&gt;&lt;pub-location&gt;Leipzig&lt;/pub-location&gt;&lt;urls&gt;&lt;/urls&gt;&lt;/record&gt;&lt;/Cite&gt;&lt;/EndNote&gt;</w:instrText>
      </w:r>
      <w:r>
        <w:fldChar w:fldCharType="separate"/>
      </w:r>
      <w:r>
        <w:rPr>
          <w:noProof/>
        </w:rPr>
        <w:t>Gerhard Hilbert 1917</w:t>
      </w:r>
      <w:r>
        <w:fldChar w:fldCharType="end"/>
      </w:r>
      <w:r>
        <w:t>, 4.</w:t>
      </w:r>
    </w:p>
  </w:footnote>
  <w:footnote w:id="2">
    <w:p w14:paraId="11C417A1" w14:textId="77777777" w:rsidR="00EB4225" w:rsidRDefault="00EB4225" w:rsidP="00A95299">
      <w:pPr>
        <w:pStyle w:val="Funotentext"/>
      </w:pPr>
      <w:r>
        <w:rPr>
          <w:rStyle w:val="Funotenzeichen"/>
        </w:rPr>
        <w:footnoteRef/>
      </w:r>
      <w:r>
        <w:t xml:space="preserve"> Vgl. </w:t>
      </w:r>
      <w:r>
        <w:fldChar w:fldCharType="begin"/>
      </w:r>
      <w:r>
        <w:instrText xml:space="preserve"> ADDIN EN.CITE &lt;EndNote&gt;&lt;Cite&gt;&lt;Author&gt;Sellmann&lt;/Author&gt;&lt;Year&gt;2004&lt;/Year&gt;&lt;RecNum&gt;2811&lt;/RecNum&gt;&lt;DisplayText&gt;Matthias Sellmann, 2004&lt;/DisplayText&gt;&lt;record&gt;&lt;rec-number&gt;2811&lt;/rec-number&gt;&lt;foreign-keys&gt;&lt;key app="EN" db-id="0t0dxv9vetdatmef0a959d9wdwf995aa9dxw"&gt;2811&lt;/key&gt;&lt;/foreign-keys&gt;&lt;ref-type name="Edited Book"&gt;28&lt;/ref-type&gt;&lt;contributors&gt;&lt;authors&gt;&lt;author&gt;Matthias Sellmann&lt;/author&gt;&lt;/authors&gt;&lt;/contributors&gt;&lt;titles&gt;&lt;title&gt;Deutschland - Missionsland? Zur Überwindung eines pastoralen Tabus&lt;/title&gt;&lt;/titles&gt;&lt;dates&gt;&lt;year&gt;2004&lt;/year&gt;&lt;/dates&gt;&lt;pub-location&gt;Freiburg/Br.&lt;/pub-location&gt;&lt;urls&gt;&lt;/urls&gt;&lt;/record&gt;&lt;/Cite&gt;&lt;/EndNote&gt;</w:instrText>
      </w:r>
      <w:r>
        <w:fldChar w:fldCharType="separate"/>
      </w:r>
      <w:r>
        <w:rPr>
          <w:noProof/>
        </w:rPr>
        <w:t>Matthias Sellmann, 2004</w:t>
      </w:r>
      <w:r>
        <w:fldChar w:fldCharType="end"/>
      </w:r>
      <w:r>
        <w:t>.</w:t>
      </w:r>
    </w:p>
  </w:footnote>
  <w:footnote w:id="3">
    <w:p w14:paraId="2ACB266C" w14:textId="77777777" w:rsidR="00EB4225" w:rsidRDefault="00EB4225" w:rsidP="0090341C">
      <w:pPr>
        <w:pStyle w:val="Funotentext"/>
      </w:pPr>
      <w:r>
        <w:rPr>
          <w:rStyle w:val="Funotenzeichen"/>
        </w:rPr>
        <w:footnoteRef/>
      </w:r>
      <w:r>
        <w:t xml:space="preserve"> Vgl. </w:t>
      </w:r>
      <w:r>
        <w:fldChar w:fldCharType="begin"/>
      </w:r>
      <w:r>
        <w:instrText xml:space="preserve"> ADDIN EN.CITE &lt;EndNote&gt;&lt;Cite&gt;&lt;Author&gt;Feldtkeller&lt;/Author&gt;&lt;Year&gt;2008&lt;/Year&gt;&lt;RecNum&gt;2812&lt;/RecNum&gt;&lt;DisplayText&gt;Andreas Feldtkeller 2008, &lt;/DisplayText&gt;&lt;record&gt;&lt;rec-number&gt;2812&lt;/rec-number&gt;&lt;foreign-keys&gt;&lt;key app="EN" db-id="0t0dxv9vetdatmef0a959d9wdwf995aa9dxw"&gt;2812&lt;/key&gt;&lt;/foreign-keys&gt;&lt;ref-type name="Book Section"&gt;5&lt;/ref-type&gt;&lt;contributors&gt;&lt;authors&gt;&lt;author&gt;Andreas Feldtkeller&lt;/author&gt;&lt;/authors&gt;&lt;secondary-authors&gt;&lt;author&gt;Martin Reppenhagen&lt;/author&gt;&lt;author&gt;Michael Herbst&lt;/author&gt;&lt;/secondary-authors&gt;&lt;/contributors&gt;&lt;titles&gt;&lt;title&gt;Kontextuelle Missionstheologie. Das Beispiel einer missionarischen Theologie in und für Mitteleuropa&lt;/title&gt;&lt;secondary-title&gt;Kirche in der Postmoderne&lt;/secondary-title&gt;&lt;tertiary-title&gt;BEG&lt;/tertiary-title&gt;&lt;/titles&gt;&lt;pages&gt;35-50&lt;/pages&gt;&lt;number&gt;Bd. 6&lt;/number&gt;&lt;dates&gt;&lt;year&gt;2008&lt;/year&gt;&lt;/dates&gt;&lt;pub-location&gt;Neukirchen-Vluyn&lt;/pub-location&gt;&lt;urls&gt;&lt;/urls&gt;&lt;/record&gt;&lt;/Cite&gt;&lt;/EndNote&gt;</w:instrText>
      </w:r>
      <w:r>
        <w:fldChar w:fldCharType="separate"/>
      </w:r>
      <w:r>
        <w:rPr>
          <w:noProof/>
        </w:rPr>
        <w:t xml:space="preserve">Andreas Feldtkeller 2008, </w:t>
      </w:r>
      <w:r>
        <w:fldChar w:fldCharType="end"/>
      </w:r>
      <w:r>
        <w:t xml:space="preserve">35-50; vgl. </w:t>
      </w:r>
      <w:hyperlink r:id="rId1" w:history="1">
        <w:r w:rsidRPr="00E272E8">
          <w:rPr>
            <w:rStyle w:val="Link"/>
          </w:rPr>
          <w:t>http://de.wikipedia.org/wiki/Religionsfreiheit</w:t>
        </w:r>
      </w:hyperlink>
      <w:r>
        <w:t xml:space="preserve"> – aufgesucht am 6. Dezember 2012.</w:t>
      </w:r>
    </w:p>
  </w:footnote>
  <w:footnote w:id="4">
    <w:p w14:paraId="4E8DDA25" w14:textId="77777777" w:rsidR="00EB4225" w:rsidRDefault="00EB4225" w:rsidP="00D177BB">
      <w:pPr>
        <w:pStyle w:val="Funotentext"/>
      </w:pPr>
      <w:r>
        <w:rPr>
          <w:rStyle w:val="Funotenzeichen"/>
        </w:rPr>
        <w:footnoteRef/>
      </w:r>
      <w:r>
        <w:t xml:space="preserve"> </w:t>
      </w:r>
      <w:r>
        <w:fldChar w:fldCharType="begin"/>
      </w:r>
      <w:r>
        <w:instrText xml:space="preserve"> ADDIN EN.CITE &lt;EndNote&gt;&lt;Cite&gt;&lt;Author&gt;Feldtkeller&lt;/Author&gt;&lt;Year&gt;2008&lt;/Year&gt;&lt;RecNum&gt;2812&lt;/RecNum&gt;&lt;DisplayText&gt;Andreas Feldtkeller 2008, &lt;/DisplayText&gt;&lt;record&gt;&lt;rec-number&gt;2812&lt;/rec-number&gt;&lt;foreign-keys&gt;&lt;key app="EN" db-id="0t0dxv9vetdatmef0a959d9wdwf995aa9dxw"&gt;2812&lt;/key&gt;&lt;/foreign-keys&gt;&lt;ref-type name="Book Section"&gt;5&lt;/ref-type&gt;&lt;contributors&gt;&lt;authors&gt;&lt;author&gt;Andreas Feldtkeller&lt;/author&gt;&lt;/authors&gt;&lt;secondary-authors&gt;&lt;author&gt;Martin Reppenhagen&lt;/author&gt;&lt;author&gt;Michael Herbst&lt;/author&gt;&lt;/secondary-authors&gt;&lt;/contributors&gt;&lt;titles&gt;&lt;title&gt;Kontextuelle Missionstheologie. Das Beispiel einer missionarischen Theologie in und für Mitteleuropa&lt;/title&gt;&lt;secondary-title&gt;Kirche in der Postmoderne&lt;/secondary-title&gt;&lt;tertiary-title&gt;BEG&lt;/tertiary-title&gt;&lt;/titles&gt;&lt;pages&gt;35-50&lt;/pages&gt;&lt;number&gt;Bd. 6&lt;/number&gt;&lt;dates&gt;&lt;year&gt;2008&lt;/year&gt;&lt;/dates&gt;&lt;pub-location&gt;Neukirchen-Vluyn&lt;/pub-location&gt;&lt;urls&gt;&lt;/urls&gt;&lt;/record&gt;&lt;/Cite&gt;&lt;/EndNote&gt;</w:instrText>
      </w:r>
      <w:r>
        <w:fldChar w:fldCharType="separate"/>
      </w:r>
      <w:r>
        <w:rPr>
          <w:noProof/>
        </w:rPr>
        <w:t xml:space="preserve">Andreas Feldtkeller 2008, </w:t>
      </w:r>
      <w:r>
        <w:fldChar w:fldCharType="end"/>
      </w:r>
      <w:r>
        <w:t>45.</w:t>
      </w:r>
    </w:p>
  </w:footnote>
  <w:footnote w:id="5">
    <w:p w14:paraId="32F6A046" w14:textId="77777777" w:rsidR="00EB4225" w:rsidRDefault="00EB4225" w:rsidP="00DF3B23">
      <w:pPr>
        <w:pStyle w:val="Funotentext"/>
      </w:pPr>
      <w:r>
        <w:rPr>
          <w:rStyle w:val="Funotenzeichen"/>
        </w:rPr>
        <w:footnoteRef/>
      </w:r>
      <w:r>
        <w:t xml:space="preserve"> Vgl. </w:t>
      </w:r>
      <w:r>
        <w:fldChar w:fldCharType="begin"/>
      </w:r>
      <w:r>
        <w:instrText xml:space="preserve"> ADDIN EN.CITE &lt;EndNote&gt;&lt;Cite&gt;&lt;Author&gt;Hauschildt&lt;/Author&gt;&lt;Year&gt;2007&lt;/Year&gt;&lt;RecNum&gt;1312&lt;/RecNum&gt;&lt;DisplayText&gt;Eberhard Hauschildt 2007, &lt;/DisplayText&gt;&lt;record&gt;&lt;rec-number&gt;1312&lt;/rec-number&gt;&lt;foreign-keys&gt;&lt;key app="EN" db-id="0t0dxv9vetdatmef0a959d9wdwf995aa9dxw"&gt;1312&lt;/key&gt;&lt;/foreign-keys&gt;&lt;ref-type name="Book Section"&gt;5&lt;/ref-type&gt;&lt;contributors&gt;&lt;authors&gt;&lt;author&gt;Eberhard Hauschildt&lt;/author&gt;&lt;/authors&gt;&lt;secondary-authors&gt;&lt;author&gt;Christian Grethlein&lt;/author&gt;&lt;author&gt;Helmut Schwier&lt;/author&gt;&lt;/secondary-authors&gt;&lt;/contributors&gt;&lt;titles&gt;&lt;title&gt;Praktische Theologie und Mission&lt;/title&gt;&lt;secondary-title&gt;Praktische Theoogie. Eine Theorie- und Problemgeschichte&lt;/secondary-title&gt;&lt;/titles&gt;&lt;pages&gt;457-509&lt;/pages&gt;&lt;dates&gt;&lt;year&gt;2007&lt;/year&gt;&lt;/dates&gt;&lt;pub-location&gt;Leipzig&lt;/pub-location&gt;&lt;urls&gt;&lt;/urls&gt;&lt;/record&gt;&lt;/Cite&gt;&lt;/EndNote&gt;</w:instrText>
      </w:r>
      <w:r>
        <w:fldChar w:fldCharType="separate"/>
      </w:r>
      <w:r>
        <w:rPr>
          <w:noProof/>
        </w:rPr>
        <w:t xml:space="preserve">Eberhard Hauschildt 2007, </w:t>
      </w:r>
      <w:r>
        <w:fldChar w:fldCharType="end"/>
      </w:r>
      <w:r>
        <w:t xml:space="preserve">457-509. Vgl. den sehr guten Überblick zum Thema bei </w:t>
      </w:r>
      <w:r>
        <w:fldChar w:fldCharType="begin"/>
      </w:r>
      <w:r>
        <w:instrText xml:space="preserve"> ADDIN EN.CITE &lt;EndNote&gt;&lt;Cite&gt;&lt;Author&gt;Ratzmann&lt;/Author&gt;&lt;Year&gt;2012&lt;/Year&gt;&lt;RecNum&gt;2708&lt;/RecNum&gt;&lt;DisplayText&gt;Wolfgang Ratzmann 2012, &lt;/DisplayText&gt;&lt;record&gt;&lt;rec-number&gt;2708&lt;/rec-number&gt;&lt;foreign-keys&gt;&lt;key app="EN" db-id="0t0dxv9vetdatmef0a959d9wdwf995aa9dxw"&gt;2708&lt;/key&gt;&lt;/foreign-keys&gt;&lt;ref-type name="Journal Article"&gt;17&lt;/ref-type&gt;&lt;contributors&gt;&lt;authors&gt;&lt;author&gt;Wolfgang Ratzmann&lt;/author&gt;&lt;/authors&gt;&lt;/contributors&gt;&lt;titles&gt;&lt;title&gt;Das Spannungsfeld Mission in der Praktischen Theologie&lt;/title&gt;&lt;secondary-title&gt;ZMiss&lt;/secondary-title&gt;&lt;/titles&gt;&lt;periodical&gt;&lt;full-title&gt;ZMiss&lt;/full-title&gt;&lt;/periodical&gt;&lt;pages&gt;302-317&lt;/pages&gt;&lt;volume&gt;38&lt;/volume&gt;&lt;dates&gt;&lt;year&gt;2012&lt;/year&gt;&lt;/dates&gt;&lt;urls&gt;&lt;/urls&gt;&lt;/record&gt;&lt;/Cite&gt;&lt;/EndNote&gt;</w:instrText>
      </w:r>
      <w:r>
        <w:fldChar w:fldCharType="separate"/>
      </w:r>
      <w:r>
        <w:rPr>
          <w:noProof/>
        </w:rPr>
        <w:t xml:space="preserve">Wolfgang Ratzmann 2012, </w:t>
      </w:r>
      <w:r>
        <w:fldChar w:fldCharType="end"/>
      </w:r>
      <w:r>
        <w:t>302-317.</w:t>
      </w:r>
    </w:p>
  </w:footnote>
  <w:footnote w:id="6">
    <w:p w14:paraId="3A6F674F" w14:textId="77777777" w:rsidR="00EB4225" w:rsidRDefault="00EB4225" w:rsidP="00D177BB">
      <w:pPr>
        <w:pStyle w:val="Funotentext"/>
      </w:pPr>
      <w:r>
        <w:rPr>
          <w:rStyle w:val="Funotenzeichen"/>
        </w:rPr>
        <w:footnoteRef/>
      </w:r>
      <w:r>
        <w:t xml:space="preserve"> Vgl. </w:t>
      </w:r>
      <w:r>
        <w:fldChar w:fldCharType="begin"/>
      </w:r>
      <w:r>
        <w:instrText xml:space="preserve"> ADDIN EN.CITE &lt;EndNote&gt;&lt;Cite&gt;&lt;Author&gt;Rössler&lt;/Author&gt;&lt;Year&gt;1986&lt;/Year&gt;&lt;RecNum&gt;834&lt;/RecNum&gt;&lt;DisplayText&gt;Dietrich Rössler 1986&lt;/DisplayText&gt;&lt;record&gt;&lt;rec-number&gt;834&lt;/rec-number&gt;&lt;foreign-keys&gt;&lt;key app="EN" db-id="0t0dxv9vetdatmef0a959d9wdwf995aa9dxw"&gt;834&lt;/key&gt;&lt;/foreign-keys&gt;&lt;ref-type name="Book"&gt;6&lt;/ref-type&gt;&lt;contributors&gt;&lt;authors&gt;&lt;author&gt;Dietrich Rössler&lt;/author&gt;&lt;/authors&gt;&lt;/contributors&gt;&lt;titles&gt;&lt;title&gt;Grundriss der Praktischen Theologie&lt;/title&gt;&lt;/titles&gt;&lt;dates&gt;&lt;year&gt;1986&lt;/year&gt;&lt;/dates&gt;&lt;pub-location&gt;Berlin und New York&lt;/pub-location&gt;&lt;urls&gt;&lt;/urls&gt;&lt;/record&gt;&lt;/Cite&gt;&lt;/EndNote&gt;</w:instrText>
      </w:r>
      <w:r>
        <w:fldChar w:fldCharType="separate"/>
      </w:r>
      <w:r>
        <w:rPr>
          <w:noProof/>
        </w:rPr>
        <w:t>Dietrich Rössler 1986</w:t>
      </w:r>
      <w:r>
        <w:fldChar w:fldCharType="end"/>
      </w:r>
      <w:r>
        <w:t>. Auf S. 538 gibt es einen winzigen Hinweis, Mission sei einmal Thema der Prakt</w:t>
      </w:r>
      <w:r>
        <w:t>i</w:t>
      </w:r>
      <w:r>
        <w:t>schen Theologie gewesen.</w:t>
      </w:r>
    </w:p>
  </w:footnote>
  <w:footnote w:id="7">
    <w:p w14:paraId="5EDB1F48" w14:textId="77777777" w:rsidR="00EB4225" w:rsidRDefault="00EB4225" w:rsidP="00D177BB">
      <w:pPr>
        <w:pStyle w:val="Funotentext"/>
      </w:pPr>
      <w:r>
        <w:rPr>
          <w:rStyle w:val="Funotenzeichen"/>
        </w:rPr>
        <w:footnoteRef/>
      </w:r>
      <w:r>
        <w:t xml:space="preserve"> Vgl. </w:t>
      </w:r>
      <w:r>
        <w:fldChar w:fldCharType="begin"/>
      </w:r>
      <w:r>
        <w:instrText xml:space="preserve"> ADDIN EN.CITE &lt;EndNote&gt;&lt;Cite&gt;&lt;Author&gt;Otto&lt;/Author&gt;&lt;Year&gt;1988&lt;/Year&gt;&lt;RecNum&gt;2102&lt;/RecNum&gt;&lt;DisplayText&gt;Gert Otto 1988&lt;/DisplayText&gt;&lt;record&gt;&lt;rec-number&gt;2102&lt;/rec-number&gt;&lt;foreign-keys&gt;&lt;key app="EN" db-id="0t0dxv9vetdatmef0a959d9wdwf995aa9dxw"&gt;2102&lt;/key&gt;&lt;/foreign-keys&gt;&lt;ref-type name="Book"&gt;6&lt;/ref-type&gt;&lt;contributors&gt;&lt;authors&gt;&lt;author&gt;Gert Otto&lt;/author&gt;&lt;/authors&gt;&lt;/contributors&gt;&lt;titles&gt;&lt;title&gt;Handlungsfelder der Praktischen Theologie&lt;/title&gt;&lt;/titles&gt;&lt;dates&gt;&lt;year&gt;1988&lt;/year&gt;&lt;/dates&gt;&lt;pub-location&gt;München&lt;/pub-location&gt;&lt;urls&gt;&lt;/urls&gt;&lt;/record&gt;&lt;/Cite&gt;&lt;/EndNote&gt;</w:instrText>
      </w:r>
      <w:r>
        <w:fldChar w:fldCharType="separate"/>
      </w:r>
      <w:r>
        <w:rPr>
          <w:noProof/>
        </w:rPr>
        <w:t>Gert Otto 1988</w:t>
      </w:r>
      <w:r>
        <w:fldChar w:fldCharType="end"/>
      </w:r>
      <w:r>
        <w:t xml:space="preserve"> (hier aktiv abgewehrt).</w:t>
      </w:r>
    </w:p>
  </w:footnote>
  <w:footnote w:id="8">
    <w:p w14:paraId="174C0857" w14:textId="77777777" w:rsidR="00EB4225" w:rsidRDefault="00EB4225" w:rsidP="00D177BB">
      <w:pPr>
        <w:pStyle w:val="Funotentext"/>
      </w:pPr>
      <w:r>
        <w:rPr>
          <w:rStyle w:val="Funotenzeichen"/>
        </w:rPr>
        <w:footnoteRef/>
      </w:r>
      <w:r>
        <w:t xml:space="preserve"> Vgl. </w:t>
      </w:r>
      <w:r>
        <w:fldChar w:fldCharType="begin"/>
      </w:r>
      <w:r>
        <w:instrText xml:space="preserve"> ADDIN EN.CITE &lt;EndNote&gt;&lt;Cite&gt;&lt;Author&gt;Steck&lt;/Author&gt;&lt;Year&gt;2000&lt;/Year&gt;&lt;RecNum&gt;1331&lt;/RecNum&gt;&lt;DisplayText&gt;Wolfgang Steck 2000&lt;/DisplayText&gt;&lt;record&gt;&lt;rec-number&gt;1331&lt;/rec-number&gt;&lt;foreign-keys&gt;&lt;key app="EN" db-id="0t0dxv9vetdatmef0a959d9wdwf995aa9dxw"&gt;1331&lt;/key&gt;&lt;/foreign-keys&gt;&lt;ref-type name="Book"&gt;6&lt;/ref-type&gt;&lt;contributors&gt;&lt;authors&gt;&lt;author&gt;Wolfgang Steck&lt;/author&gt;&lt;/authors&gt;&lt;/contributors&gt;&lt;titles&gt;&lt;title&gt;Praktische Theologie. Horizonte der Religion. Konturen des neuzeitlichen Christentums: Strukturen der religiösen Lebenswelt. Band 1&lt;/title&gt;&lt;/titles&gt;&lt;dates&gt;&lt;year&gt;2000&lt;/year&gt;&lt;/dates&gt;&lt;pub-location&gt;Stuttgart&lt;/pub-location&gt;&lt;urls&gt;&lt;/urls&gt;&lt;/record&gt;&lt;/Cite&gt;&lt;/EndNote&gt;</w:instrText>
      </w:r>
      <w:r>
        <w:fldChar w:fldCharType="separate"/>
      </w:r>
      <w:r>
        <w:rPr>
          <w:noProof/>
        </w:rPr>
        <w:t>Wolfgang Steck 2000</w:t>
      </w:r>
      <w:r>
        <w:fldChar w:fldCharType="end"/>
      </w:r>
      <w:r>
        <w:t>.</w:t>
      </w:r>
    </w:p>
  </w:footnote>
  <w:footnote w:id="9">
    <w:p w14:paraId="5AE8BCC2" w14:textId="77777777" w:rsidR="00EB4225" w:rsidRDefault="00EB4225" w:rsidP="00DF3B23">
      <w:pPr>
        <w:pStyle w:val="Funotentext"/>
      </w:pPr>
      <w:r>
        <w:rPr>
          <w:rStyle w:val="Funotenzeichen"/>
        </w:rPr>
        <w:footnoteRef/>
      </w:r>
      <w:r>
        <w:t xml:space="preserve"> Vgl. </w:t>
      </w:r>
      <w:r>
        <w:fldChar w:fldCharType="begin"/>
      </w:r>
      <w:r>
        <w:instrText xml:space="preserve"> ADDIN EN.CITE &lt;EndNote&gt;&lt;Cite&gt;&lt;Author&gt;Gräb&lt;/Author&gt;&lt;Year&gt;2007&lt;/Year&gt;&lt;RecNum&gt;2804&lt;/RecNum&gt;&lt;DisplayText&gt;Wilhelm Gräb und Birgit Weyel, 2007&lt;/DisplayText&gt;&lt;record&gt;&lt;rec-number&gt;2804&lt;/rec-number&gt;&lt;foreign-keys&gt;&lt;key app="EN" db-id="0t0dxv9vetdatmef0a959d9wdwf995aa9dxw"&gt;2804&lt;/key&gt;&lt;/foreign-keys&gt;&lt;ref-type name="Edited Book"&gt;28&lt;/ref-type&gt;&lt;contributors&gt;&lt;authors&gt;&lt;author&gt;Wilhelm Gräb&lt;/author&gt;&lt;author&gt;Birgit Weyel&lt;/author&gt;&lt;/authors&gt;&lt;/contributors&gt;&lt;titles&gt;&lt;title&gt;Handbuch Praktische Theologie&lt;/title&gt;&lt;/titles&gt;&lt;dates&gt;&lt;year&gt;2007&lt;/year&gt;&lt;/dates&gt;&lt;pub-location&gt;Gütersloh&lt;/pub-location&gt;&lt;urls&gt;&lt;/urls&gt;&lt;/record&gt;&lt;/Cite&gt;&lt;/EndNote&gt;</w:instrText>
      </w:r>
      <w:r>
        <w:fldChar w:fldCharType="separate"/>
      </w:r>
      <w:r>
        <w:rPr>
          <w:noProof/>
        </w:rPr>
        <w:t>Wilhelm Gräb und Birgit Weyel, 2007</w:t>
      </w:r>
      <w:r>
        <w:fldChar w:fldCharType="end"/>
      </w:r>
      <w:r>
        <w:t>.</w:t>
      </w:r>
    </w:p>
  </w:footnote>
  <w:footnote w:id="10">
    <w:p w14:paraId="2D9E3F6F" w14:textId="77777777" w:rsidR="00EB4225" w:rsidRDefault="00EB4225" w:rsidP="00D177BB">
      <w:pPr>
        <w:pStyle w:val="Funotentext"/>
      </w:pPr>
      <w:r>
        <w:rPr>
          <w:rStyle w:val="Funotenzeichen"/>
        </w:rPr>
        <w:footnoteRef/>
      </w:r>
      <w:r>
        <w:t xml:space="preserve"> Vgl. </w:t>
      </w:r>
      <w:r>
        <w:fldChar w:fldCharType="begin"/>
      </w:r>
      <w:r>
        <w:instrText xml:space="preserve"> ADDIN EN.CITE &lt;EndNote&gt;&lt;Cite&gt;&lt;Author&gt;Wrogemann&lt;/Author&gt;&lt;Year&gt;2004&lt;/Year&gt;&lt;RecNum&gt;2809&lt;/RecNum&gt;&lt;DisplayText&gt;Henning Wrogemann 2004, &lt;/DisplayText&gt;&lt;record&gt;&lt;rec-number&gt;2809&lt;/rec-number&gt;&lt;foreign-keys&gt;&lt;key app="EN" db-id="0t0dxv9vetdatmef0a959d9wdwf995aa9dxw"&gt;2809&lt;/key&gt;&lt;/foreign-keys&gt;&lt;ref-type name="Journal Article"&gt;17&lt;/ref-type&gt;&lt;contributors&gt;&lt;authors&gt;&lt;author&gt;Henning Wrogemann&lt;/author&gt;&lt;/authors&gt;&lt;/contributors&gt;&lt;titles&gt;&lt;title&gt;„Mission“ als Thema und Desiderat Systematischer Theologie&lt;/title&gt;&lt;secondary-title&gt;VuF&lt;/secondary-title&gt;&lt;/titles&gt;&lt;periodical&gt;&lt;full-title&gt;VuF&lt;/full-title&gt;&lt;/periodical&gt;&lt;pages&gt;3-22&lt;/pages&gt;&lt;volume&gt;49&lt;/volume&gt;&lt;dates&gt;&lt;year&gt;2004&lt;/year&gt;&lt;/dates&gt;&lt;urls&gt;&lt;/urls&gt;&lt;/record&gt;&lt;/Cite&gt;&lt;/EndNote&gt;</w:instrText>
      </w:r>
      <w:r>
        <w:fldChar w:fldCharType="separate"/>
      </w:r>
      <w:r>
        <w:rPr>
          <w:noProof/>
        </w:rPr>
        <w:t xml:space="preserve">Henning Wrogemann 2004, </w:t>
      </w:r>
      <w:r>
        <w:fldChar w:fldCharType="end"/>
      </w:r>
      <w:r>
        <w:t>3-22.</w:t>
      </w:r>
    </w:p>
  </w:footnote>
  <w:footnote w:id="11">
    <w:p w14:paraId="2AF460D0" w14:textId="77777777" w:rsidR="00EB4225" w:rsidRDefault="00EB4225" w:rsidP="00D96731">
      <w:pPr>
        <w:pStyle w:val="Funotentext"/>
        <w:jc w:val="center"/>
      </w:pPr>
      <w:r>
        <w:rPr>
          <w:rStyle w:val="Funotenzeichen"/>
        </w:rPr>
        <w:footnoteRef/>
      </w:r>
      <w:r>
        <w:t xml:space="preserve"> Vgl. </w:t>
      </w:r>
      <w:r>
        <w:fldChar w:fldCharType="begin"/>
      </w:r>
      <w:r>
        <w:instrText xml:space="preserve"> ADDIN EN.CITE &lt;EndNote&gt;&lt;Cite&gt;&lt;Author&gt;Abromeit&lt;/Author&gt;&lt;Year&gt;2002&lt;/Year&gt;&lt;RecNum&gt;2805&lt;/RecNum&gt;&lt;DisplayText&gt;Hans-Jürgen Abromeit 2002b, &lt;/DisplayText&gt;&lt;record&gt;&lt;rec-number&gt;2805&lt;/rec-number&gt;&lt;foreign-keys&gt;&lt;key app="EN" db-id="0t0dxv9vetdatmef0a959d9wdwf995aa9dxw"&gt;2805&lt;/key&gt;&lt;/foreign-keys&gt;&lt;ref-type name="Journal Article"&gt;17&lt;/ref-type&gt;&lt;contributors&gt;&lt;authors&gt;&lt;author&gt;Hans-Jürgen Abromeit&lt;/author&gt;&lt;/authors&gt;&lt;/contributors&gt;&lt;titles&gt;&lt;title&gt;Auf die missionarischen Herausforderungen des kirchlichen Alltags vorbereiten. Was sich in der Ausbildung der Pfarrerinnen und Pfarrer ändern muss. Initiativkreis &amp;quot;Kontextuelle Evangelisation im gesellschaftlichen Wandel&amp;quot;. Ergebnisse eines Hearings in Hanstedt am 2./3. Februar 2001&lt;/title&gt;&lt;secondary-title&gt;PTh&lt;/secondary-title&gt;&lt;/titles&gt;&lt;periodical&gt;&lt;full-title&gt;PTh&lt;/full-title&gt;&lt;/periodical&gt;&lt;pages&gt;126-136&lt;/pages&gt;&lt;volume&gt;91&lt;/volume&gt;&lt;dates&gt;&lt;year&gt;2002&lt;/year&gt;&lt;/dates&gt;&lt;urls&gt;&lt;/urls&gt;&lt;/record&gt;&lt;/Cite&gt;&lt;/EndNote&gt;</w:instrText>
      </w:r>
      <w:r>
        <w:fldChar w:fldCharType="separate"/>
      </w:r>
      <w:r>
        <w:rPr>
          <w:noProof/>
        </w:rPr>
        <w:t xml:space="preserve">Hans-Jürgen Abromeit 2002b, </w:t>
      </w:r>
      <w:r>
        <w:fldChar w:fldCharType="end"/>
      </w:r>
      <w:r>
        <w:t>126-136. Die Reaktionen waren teils sehr grundsätzlich und hochempfin</w:t>
      </w:r>
      <w:r>
        <w:t>d</w:t>
      </w:r>
      <w:r>
        <w:t xml:space="preserve">lich: vgl. z.B. </w:t>
      </w:r>
      <w:r>
        <w:fldChar w:fldCharType="begin"/>
      </w:r>
      <w:r>
        <w:instrText xml:space="preserve"> ADDIN EN.CITE &lt;EndNote&gt;&lt;Cite&gt;&lt;Author&gt;Kähler&lt;/Author&gt;&lt;Year&gt;2002&lt;/Year&gt;&lt;RecNum&gt;1074&lt;/RecNum&gt;&lt;DisplayText&gt;Reinhard Kähler ibid.&lt;/DisplayText&gt;&lt;record&gt;&lt;rec-number&gt;1074&lt;/rec-number&gt;&lt;foreign-keys&gt;&lt;key app="EN" db-id="0t0dxv9vetdatmef0a959d9wdwf995aa9dxw"&gt;1074&lt;/key&gt;&lt;/foreign-keys&gt;&lt;ref-type name="Journal Article"&gt;17&lt;/ref-type&gt;&lt;contributors&gt;&lt;authors&gt;&lt;author&gt;Reinhard Kähler&lt;/author&gt;&lt;/authors&gt;&lt;/contributors&gt;&lt;titles&gt;&lt;title&gt;Missionarische Kompetenz&lt;/title&gt;&lt;secondary-title&gt;PTh&lt;/secondary-title&gt;&lt;/titles&gt;&lt;periodical&gt;&lt;full-title&gt;PTh&lt;/full-title&gt;&lt;/periodical&gt;&lt;pages&gt;137-145&lt;/pages&gt;&lt;volume&gt;91&lt;/volume&gt;&lt;dates&gt;&lt;year&gt;2002&lt;/year&gt;&lt;/dates&gt;&lt;urls&gt;&lt;/urls&gt;&lt;/record&gt;&lt;/Cite&gt;&lt;/EndNote&gt;</w:instrText>
      </w:r>
      <w:r>
        <w:fldChar w:fldCharType="separate"/>
      </w:r>
      <w:r>
        <w:rPr>
          <w:noProof/>
        </w:rPr>
        <w:t>Reinhard Kähler</w:t>
      </w:r>
      <w:r>
        <w:fldChar w:fldCharType="end"/>
      </w:r>
      <w:r>
        <w:t xml:space="preserve"> 2002, 137-145; </w:t>
      </w:r>
      <w:r>
        <w:fldChar w:fldCharType="begin"/>
      </w:r>
      <w:r>
        <w:instrText xml:space="preserve"> ADDIN EN.CITE &lt;EndNote&gt;&lt;Cite&gt;&lt;Author&gt;Hermelink&lt;/Author&gt;&lt;Year&gt;2001&lt;/Year&gt;&lt;RecNum&gt;1073&lt;/RecNum&gt;&lt;DisplayText&gt;Jan Hermelink, Reinhard Kähler und Birgit Weyel 2001, &lt;/DisplayText&gt;&lt;record&gt;&lt;rec-number&gt;1073&lt;/rec-number&gt;&lt;foreign-keys&gt;&lt;key app="EN" db-id="0t0dxv9vetdatmef0a959d9wdwf995aa9dxw"&gt;1073&lt;/key&gt;&lt;/foreign-keys&gt;&lt;ref-type name="Journal Article"&gt;17&lt;/ref-type&gt;&lt;contributors&gt;&lt;authors&gt;&lt;author&gt;Jan Hermelink&lt;/author&gt;&lt;author&gt;Reinhard Kähler&lt;/author&gt;&lt;author&gt;Birgit Weyel&lt;/author&gt;&lt;/authors&gt;&lt;/contributors&gt;&lt;titles&gt;&lt;title&gt;In der Vielfalt liegt die Stärke. Konsequente Mission oder interessierte Kommunikation - wie soll sich die Kirche orientieren?&lt;/title&gt;&lt;secondary-title&gt;Zeitzeichen&lt;/secondary-title&gt;&lt;/titles&gt;&lt;periodical&gt;&lt;full-title&gt;Zeitzeichen&lt;/full-title&gt;&lt;/periodical&gt;&lt;pages&gt;38-40&lt;/pages&gt;&lt;volume&gt;11&lt;/volume&gt;&lt;dates&gt;&lt;year&gt;2001&lt;/year&gt;&lt;/dates&gt;&lt;urls&gt;&lt;/urls&gt;&lt;/record&gt;&lt;/Cite&gt;&lt;/EndNote&gt;</w:instrText>
      </w:r>
      <w:r>
        <w:fldChar w:fldCharType="separate"/>
      </w:r>
      <w:r>
        <w:rPr>
          <w:noProof/>
        </w:rPr>
        <w:t xml:space="preserve">Jan Hermelink, Reinhard Kähler und Birgit Weyel 2001, </w:t>
      </w:r>
      <w:r>
        <w:fldChar w:fldCharType="end"/>
      </w:r>
      <w:r>
        <w:t xml:space="preserve">38-40; </w:t>
      </w:r>
      <w:r>
        <w:fldChar w:fldCharType="begin"/>
      </w:r>
      <w:r>
        <w:instrText xml:space="preserve"> ADDIN EN.CITE &lt;EndNote&gt;&lt;Cite&gt;&lt;Author&gt;Kretzschmar&lt;/Author&gt;&lt;Year&gt;2002&lt;/Year&gt;&lt;RecNum&gt;1072&lt;/RecNum&gt;&lt;DisplayText&gt;Gerald Kretzschmar 2002, &lt;/DisplayText&gt;&lt;record&gt;&lt;rec-number&gt;1072&lt;/rec-number&gt;&lt;foreign-keys&gt;&lt;key app="EN" db-id="0t0dxv9vetdatmef0a959d9wdwf995aa9dxw"&gt;1072&lt;/key&gt;&lt;/foreign-keys&gt;&lt;ref-type name="Journal Article"&gt;17&lt;/ref-type&gt;&lt;contributors&gt;&lt;authors&gt;&lt;author&gt;Gerald Kretzschmar&lt;/author&gt;&lt;/authors&gt;&lt;/contributors&gt;&lt;titles&gt;&lt;title&gt;Wahrnehmung statt Mission&lt;/title&gt;&lt;secondary-title&gt;PTh&lt;/secondary-title&gt;&lt;/titles&gt;&lt;periodical&gt;&lt;full-title&gt;PTh&lt;/full-title&gt;&lt;/periodical&gt;&lt;pages&gt;328-343&lt;/pages&gt;&lt;volume&gt;91&lt;/volume&gt;&lt;dates&gt;&lt;year&gt;2002&lt;/year&gt;&lt;/dates&gt;&lt;urls&gt;&lt;/urls&gt;&lt;/record&gt;&lt;/Cite&gt;&lt;/EndNote&gt;</w:instrText>
      </w:r>
      <w:r>
        <w:fldChar w:fldCharType="separate"/>
      </w:r>
      <w:r>
        <w:rPr>
          <w:noProof/>
        </w:rPr>
        <w:t xml:space="preserve">Gerald Kretzschmar 2002, </w:t>
      </w:r>
      <w:r>
        <w:fldChar w:fldCharType="end"/>
      </w:r>
      <w:r>
        <w:t>328-343.</w:t>
      </w:r>
    </w:p>
  </w:footnote>
  <w:footnote w:id="12">
    <w:p w14:paraId="7C32DD15" w14:textId="77777777" w:rsidR="00EB4225" w:rsidRDefault="00EB4225" w:rsidP="00D96731">
      <w:pPr>
        <w:pStyle w:val="Funotentext"/>
      </w:pPr>
      <w:r>
        <w:rPr>
          <w:rStyle w:val="Funotenzeichen"/>
        </w:rPr>
        <w:footnoteRef/>
      </w:r>
      <w:r>
        <w:t xml:space="preserve"> Besonders bei </w:t>
      </w:r>
      <w:r>
        <w:fldChar w:fldCharType="begin"/>
      </w:r>
      <w:r>
        <w:instrText xml:space="preserve"> ADDIN EN.CITE &lt;EndNote&gt;&lt;Cite&gt;&lt;Author&gt;Kähler&lt;/Author&gt;&lt;Year&gt;2002&lt;/Year&gt;&lt;RecNum&gt;1074&lt;/RecNum&gt;&lt;DisplayText&gt;Reinhard Kähler ibid.&lt;/DisplayText&gt;&lt;record&gt;&lt;rec-number&gt;1074&lt;/rec-number&gt;&lt;foreign-keys&gt;&lt;key app="EN" db-id="0t0dxv9vetdatmef0a959d9wdwf995aa9dxw"&gt;1074&lt;/key&gt;&lt;/foreign-keys&gt;&lt;ref-type name="Journal Article"&gt;17&lt;/ref-type&gt;&lt;contributors&gt;&lt;authors&gt;&lt;author&gt;Reinhard Kähler&lt;/author&gt;&lt;/authors&gt;&lt;/contributors&gt;&lt;titles&gt;&lt;title&gt;Missionarische Kompetenz&lt;/title&gt;&lt;secondary-title&gt;PTh&lt;/secondary-title&gt;&lt;/titles&gt;&lt;periodical&gt;&lt;full-title&gt;PTh&lt;/full-title&gt;&lt;/periodical&gt;&lt;pages&gt;137-145&lt;/pages&gt;&lt;volume&gt;91&lt;/volume&gt;&lt;dates&gt;&lt;year&gt;2002&lt;/year&gt;&lt;/dates&gt;&lt;urls&gt;&lt;/urls&gt;&lt;/record&gt;&lt;/Cite&gt;&lt;/EndNote&gt;</w:instrText>
      </w:r>
      <w:r>
        <w:fldChar w:fldCharType="separate"/>
      </w:r>
      <w:r>
        <w:rPr>
          <w:noProof/>
        </w:rPr>
        <w:t>Reinhard Kähler ibid.</w:t>
      </w:r>
      <w:r>
        <w:fldChar w:fldCharType="end"/>
      </w:r>
      <w:r>
        <w:t xml:space="preserve">, 137-145; vgl. </w:t>
      </w:r>
      <w:r>
        <w:fldChar w:fldCharType="begin"/>
      </w:r>
      <w:r>
        <w:instrText xml:space="preserve"> ADDIN EN.CITE &lt;EndNote&gt;&lt;Cite&gt;&lt;Author&gt;Sundermeier&lt;/Author&gt;&lt;Year&gt;1999&lt;/Year&gt;&lt;RecNum&gt;2808&lt;/RecNum&gt;&lt;DisplayText&gt;Theo Sundermeier 1999, &lt;/DisplayText&gt;&lt;record&gt;&lt;rec-number&gt;2808&lt;/rec-number&gt;&lt;foreign-keys&gt;&lt;key app="EN" db-id="0t0dxv9vetdatmef0a959d9wdwf995aa9dxw"&gt;2808&lt;/key&gt;&lt;/foreign-keys&gt;&lt;ref-type name="Book Section"&gt;5&lt;/ref-type&gt;&lt;contributors&gt;&lt;authors&gt;&lt;author&gt;Theo Sundermeier&lt;/author&gt;&lt;/authors&gt;&lt;secondary-authors&gt;&lt;author&gt;Andreas Feldtkeller&lt;/author&gt;&lt;author&gt;Theo Sundermeier&lt;/author&gt;&lt;/secondary-authors&gt;&lt;/contributors&gt;&lt;titles&gt;&lt;title&gt;Mission und Dialog in der pluralistischen Gesellschaft&lt;/title&gt;&lt;secondary-title&gt;Mission in pluralistischer Gesellschaft&lt;/secondary-title&gt;&lt;/titles&gt;&lt;pages&gt;11-25&lt;/pages&gt;&lt;dates&gt;&lt;year&gt;1999&lt;/year&gt;&lt;/dates&gt;&lt;pub-location&gt;Frankfurt/M.&lt;/pub-location&gt;&lt;urls&gt;&lt;/urls&gt;&lt;/record&gt;&lt;/Cite&gt;&lt;/EndNote&gt;</w:instrText>
      </w:r>
      <w:r>
        <w:fldChar w:fldCharType="separate"/>
      </w:r>
      <w:r>
        <w:rPr>
          <w:noProof/>
        </w:rPr>
        <w:t xml:space="preserve">Theo Sundermeier 1999, </w:t>
      </w:r>
      <w:r>
        <w:fldChar w:fldCharType="end"/>
      </w:r>
      <w:r>
        <w:t>22f.</w:t>
      </w:r>
    </w:p>
  </w:footnote>
  <w:footnote w:id="13">
    <w:p w14:paraId="46586072" w14:textId="77777777" w:rsidR="00EB4225" w:rsidRDefault="00EB4225" w:rsidP="00D96731">
      <w:pPr>
        <w:pStyle w:val="Funotentext"/>
      </w:pPr>
      <w:r>
        <w:rPr>
          <w:rStyle w:val="Funotenzeichen"/>
        </w:rPr>
        <w:footnoteRef/>
      </w:r>
      <w:r>
        <w:t xml:space="preserve"> Vgl. </w:t>
      </w:r>
      <w:r>
        <w:fldChar w:fldCharType="begin"/>
      </w:r>
      <w:r>
        <w:instrText xml:space="preserve"> ADDIN EN.CITE &lt;EndNote&gt;&lt;Cite&gt;&lt;Author&gt;Abromeit&lt;/Author&gt;&lt;Year&gt;2002&lt;/Year&gt;&lt;RecNum&gt;2807&lt;/RecNum&gt;&lt;DisplayText&gt;Hans-Jürgen Abromeit 2002a, &lt;/DisplayText&gt;&lt;record&gt;&lt;rec-number&gt;2807&lt;/rec-number&gt;&lt;foreign-keys&gt;&lt;key app="EN" db-id="0t0dxv9vetdatmef0a959d9wdwf995aa9dxw"&gt;2807&lt;/key&gt;&lt;/foreign-keys&gt;&lt;ref-type name="Journal Article"&gt;17&lt;/ref-type&gt;&lt;contributors&gt;&lt;authors&gt;&lt;author&gt;Hans-Jürgen Abromeit&lt;/author&gt;&lt;/authors&gt;&lt;/contributors&gt;&lt;titles&gt;&lt;title&gt;Kommunikationsstörungen über Mission. Warum manche für die theologische Ausbildung Verantwortlichen das missionarische Profil nicht wollen. Zu Reinhard Kählers kritischen Anfragen&lt;/title&gt;&lt;secondary-title&gt;PTh&lt;/secondary-title&gt;&lt;/titles&gt;&lt;periodical&gt;&lt;full-title&gt;PTh&lt;/full-title&gt;&lt;/periodical&gt;&lt;pages&gt;146-149&lt;/pages&gt;&lt;volume&gt;91&lt;/volume&gt;&lt;dates&gt;&lt;year&gt;2002&lt;/year&gt;&lt;/dates&gt;&lt;urls&gt;&lt;/urls&gt;&lt;/record&gt;&lt;/Cite&gt;&lt;/EndNote&gt;</w:instrText>
      </w:r>
      <w:r>
        <w:fldChar w:fldCharType="separate"/>
      </w:r>
      <w:r>
        <w:rPr>
          <w:noProof/>
        </w:rPr>
        <w:t xml:space="preserve">Hans-Jürgen Abromeit 2002a, </w:t>
      </w:r>
      <w:r>
        <w:fldChar w:fldCharType="end"/>
      </w:r>
      <w:r>
        <w:t>146f.</w:t>
      </w:r>
    </w:p>
  </w:footnote>
  <w:footnote w:id="14">
    <w:p w14:paraId="4778CBF5" w14:textId="77777777" w:rsidR="00EB4225" w:rsidRDefault="00EB4225" w:rsidP="00BB7514">
      <w:pPr>
        <w:pStyle w:val="Funotentext"/>
      </w:pPr>
      <w:r>
        <w:rPr>
          <w:rStyle w:val="Funotenzeichen"/>
        </w:rPr>
        <w:footnoteRef/>
      </w:r>
      <w:r>
        <w:t xml:space="preserve"> </w:t>
      </w:r>
      <w:r>
        <w:fldChar w:fldCharType="begin"/>
      </w:r>
      <w:r>
        <w:instrText xml:space="preserve"> ADDIN EN.CITE &lt;EndNote&gt;&lt;Cite&gt;&lt;Author&gt;Kähler&lt;/Author&gt;&lt;Year&gt;2002&lt;/Year&gt;&lt;RecNum&gt;1074&lt;/RecNum&gt;&lt;DisplayText&gt;Reinhard Kähler ibid.&lt;/DisplayText&gt;&lt;record&gt;&lt;rec-number&gt;1074&lt;/rec-number&gt;&lt;foreign-keys&gt;&lt;key app="EN" db-id="0t0dxv9vetdatmef0a959d9wdwf995aa9dxw"&gt;1074&lt;/key&gt;&lt;/foreign-keys&gt;&lt;ref-type name="Journal Article"&gt;17&lt;/ref-type&gt;&lt;contributors&gt;&lt;authors&gt;&lt;author&gt;Reinhard Kähler&lt;/author&gt;&lt;/authors&gt;&lt;/contributors&gt;&lt;titles&gt;&lt;title&gt;Missionarische Kompetenz&lt;/title&gt;&lt;secondary-title&gt;PTh&lt;/secondary-title&gt;&lt;/titles&gt;&lt;periodical&gt;&lt;full-title&gt;PTh&lt;/full-title&gt;&lt;/periodical&gt;&lt;pages&gt;137-145&lt;/pages&gt;&lt;volume&gt;91&lt;/volume&gt;&lt;dates&gt;&lt;year&gt;2002&lt;/year&gt;&lt;/dates&gt;&lt;urls&gt;&lt;/urls&gt;&lt;/record&gt;&lt;/Cite&gt;&lt;/EndNote&gt;</w:instrText>
      </w:r>
      <w:r>
        <w:fldChar w:fldCharType="separate"/>
      </w:r>
      <w:r>
        <w:rPr>
          <w:noProof/>
        </w:rPr>
        <w:t xml:space="preserve">Reinhard Kähler 2002, </w:t>
      </w:r>
      <w:r>
        <w:fldChar w:fldCharType="end"/>
      </w:r>
      <w:r>
        <w:t>141.139.</w:t>
      </w:r>
    </w:p>
  </w:footnote>
  <w:footnote w:id="15">
    <w:p w14:paraId="003547FB" w14:textId="77777777" w:rsidR="00EB4225" w:rsidRDefault="00EB4225" w:rsidP="00F83059">
      <w:pPr>
        <w:pStyle w:val="Funotentext"/>
      </w:pPr>
      <w:r>
        <w:rPr>
          <w:rStyle w:val="Funotenzeichen"/>
        </w:rPr>
        <w:footnoteRef/>
      </w:r>
      <w:r>
        <w:t xml:space="preserve"> Vgl. </w:t>
      </w:r>
      <w:r>
        <w:fldChar w:fldCharType="begin"/>
      </w:r>
      <w:r>
        <w:instrText xml:space="preserve"> ADDIN EN.CITE &lt;EndNote&gt;&lt;Cite&gt;&lt;Author&gt;Hermelink&lt;/Author&gt;&lt;Year&gt;2001&lt;/Year&gt;&lt;RecNum&gt;1073&lt;/RecNum&gt;&lt;DisplayText&gt;Jan Hermelink, Reinhard Kähler und Birgit Weyel 2001, &lt;/DisplayText&gt;&lt;record&gt;&lt;rec-number&gt;1073&lt;/rec-number&gt;&lt;foreign-keys&gt;&lt;key app="EN" db-id="0t0dxv9vetdatmef0a959d9wdwf995aa9dxw"&gt;1073&lt;/key&gt;&lt;/foreign-keys&gt;&lt;ref-type name="Journal Article"&gt;17&lt;/ref-type&gt;&lt;contributors&gt;&lt;authors&gt;&lt;author&gt;Jan Hermelink&lt;/author&gt;&lt;author&gt;Reinhard Kähler&lt;/author&gt;&lt;author&gt;Birgit Weyel&lt;/author&gt;&lt;/authors&gt;&lt;/contributors&gt;&lt;titles&gt;&lt;title&gt;In der Vielfalt liegt die Stärke. Konsequente Mission oder interessierte Kommunikation - wie soll sich die Kirche orientieren?&lt;/title&gt;&lt;secondary-title&gt;Zeitzeichen&lt;/secondary-title&gt;&lt;/titles&gt;&lt;periodical&gt;&lt;full-title&gt;Zeitzeichen&lt;/full-title&gt;&lt;/periodical&gt;&lt;pages&gt;38-40&lt;/pages&gt;&lt;volume&gt;11&lt;/volume&gt;&lt;dates&gt;&lt;year&gt;2001&lt;/year&gt;&lt;/dates&gt;&lt;urls&gt;&lt;/urls&gt;&lt;/record&gt;&lt;/Cite&gt;&lt;/EndNote&gt;</w:instrText>
      </w:r>
      <w:r>
        <w:fldChar w:fldCharType="separate"/>
      </w:r>
      <w:r>
        <w:rPr>
          <w:noProof/>
        </w:rPr>
        <w:t xml:space="preserve">Jan Hermelink, Reinhard Kähler und Birgit Weyel 2001, </w:t>
      </w:r>
      <w:r>
        <w:fldChar w:fldCharType="end"/>
      </w:r>
      <w:r>
        <w:t>38-40.</w:t>
      </w:r>
    </w:p>
  </w:footnote>
  <w:footnote w:id="16">
    <w:p w14:paraId="171710B9" w14:textId="77777777" w:rsidR="00EB4225" w:rsidRDefault="00EB4225" w:rsidP="00BD521F">
      <w:pPr>
        <w:pStyle w:val="Funotentext"/>
      </w:pPr>
      <w:r>
        <w:rPr>
          <w:rStyle w:val="Funotenzeichen"/>
        </w:rPr>
        <w:footnoteRef/>
      </w:r>
      <w:r>
        <w:t xml:space="preserve"> Vgl. </w:t>
      </w:r>
      <w:r>
        <w:fldChar w:fldCharType="begin"/>
      </w:r>
      <w:r>
        <w:instrText xml:space="preserve"> ADDIN EN.CITE &lt;EndNote&gt;&lt;Cite&gt;&lt;Author&gt;Kretzschmar&lt;/Author&gt;&lt;Year&gt;2002&lt;/Year&gt;&lt;RecNum&gt;1072&lt;/RecNum&gt;&lt;DisplayText&gt;Gerald Kretzschmar 2002, &lt;/DisplayText&gt;&lt;record&gt;&lt;rec-number&gt;1072&lt;/rec-number&gt;&lt;foreign-keys&gt;&lt;key app="EN" db-id="0t0dxv9vetdatmef0a959d9wdwf995aa9dxw"&gt;1072&lt;/key&gt;&lt;/foreign-keys&gt;&lt;ref-type name="Journal Article"&gt;17&lt;/ref-type&gt;&lt;contributors&gt;&lt;authors&gt;&lt;author&gt;Gerald Kretzschmar&lt;/author&gt;&lt;/authors&gt;&lt;/contributors&gt;&lt;titles&gt;&lt;title&gt;Wahrnehmung statt Mission&lt;/title&gt;&lt;secondary-title&gt;PTh&lt;/secondary-title&gt;&lt;/titles&gt;&lt;periodical&gt;&lt;full-title&gt;PTh&lt;/full-title&gt;&lt;/periodical&gt;&lt;pages&gt;328-343&lt;/pages&gt;&lt;volume&gt;91&lt;/volume&gt;&lt;dates&gt;&lt;year&gt;2002&lt;/year&gt;&lt;/dates&gt;&lt;urls&gt;&lt;/urls&gt;&lt;/record&gt;&lt;/Cite&gt;&lt;/EndNote&gt;</w:instrText>
      </w:r>
      <w:r>
        <w:fldChar w:fldCharType="separate"/>
      </w:r>
      <w:r>
        <w:rPr>
          <w:noProof/>
        </w:rPr>
        <w:t xml:space="preserve">Gerald Kretzschmar 2002, </w:t>
      </w:r>
      <w:r>
        <w:fldChar w:fldCharType="end"/>
      </w:r>
      <w:r>
        <w:t>, 328-343.</w:t>
      </w:r>
    </w:p>
  </w:footnote>
  <w:footnote w:id="17">
    <w:p w14:paraId="6AE946F2" w14:textId="77777777" w:rsidR="00EB4225" w:rsidRDefault="00EB4225" w:rsidP="00BB7514">
      <w:pPr>
        <w:pStyle w:val="Funotentext"/>
      </w:pPr>
      <w:r>
        <w:rPr>
          <w:rStyle w:val="Funotenzeichen"/>
        </w:rPr>
        <w:footnoteRef/>
      </w:r>
      <w:r>
        <w:t xml:space="preserve"> Vgl. </w:t>
      </w:r>
      <w:r>
        <w:fldChar w:fldCharType="begin"/>
      </w:r>
      <w:r>
        <w:instrText xml:space="preserve"> ADDIN EN.CITE &lt;EndNote&gt;&lt;Cite&gt;&lt;Author&gt;Knieling&lt;/Author&gt;&lt;Year&gt;2003&lt;/Year&gt;&lt;RecNum&gt;1075&lt;/RecNum&gt;&lt;DisplayText&gt;Reiner Knieling 2003, ibid.&lt;/DisplayText&gt;&lt;record&gt;&lt;rec-number&gt;1075&lt;/rec-number&gt;&lt;foreign-keys&gt;&lt;key app="EN" db-id="0t0dxv9vetdatmef0a959d9wdwf995aa9dxw"&gt;1075&lt;/key&gt;&lt;/foreign-keys&gt;&lt;ref-type name="Journal Article"&gt;17&lt;/ref-type&gt;&lt;contributors&gt;&lt;authors&gt;&lt;author&gt;Reiner Knieling&lt;/author&gt;&lt;/authors&gt;&lt;/contributors&gt;&lt;titles&gt;&lt;title&gt;Wahrnehmung und Mission&lt;/title&gt;&lt;secondary-title&gt;PTh&lt;/secondary-title&gt;&lt;/titles&gt;&lt;periodical&gt;&lt;full-title&gt;PTh&lt;/full-title&gt;&lt;/periodical&gt;&lt;pages&gt;287-299&lt;/pages&gt;&lt;volume&gt;92&lt;/volume&gt;&lt;dates&gt;&lt;year&gt;2003&lt;/year&gt;&lt;/dates&gt;&lt;urls&gt;&lt;/urls&gt;&lt;/record&gt;&lt;/Cite&gt;&lt;/EndNote&gt;</w:instrText>
      </w:r>
      <w:r>
        <w:fldChar w:fldCharType="separate"/>
      </w:r>
      <w:r>
        <w:rPr>
          <w:noProof/>
        </w:rPr>
        <w:t>Reiner Knieling 2003, ibid.</w:t>
      </w:r>
      <w:r>
        <w:fldChar w:fldCharType="end"/>
      </w:r>
      <w:r>
        <w:t>, 287-299.</w:t>
      </w:r>
    </w:p>
  </w:footnote>
  <w:footnote w:id="18">
    <w:p w14:paraId="1253B3E6" w14:textId="77777777" w:rsidR="00EB4225" w:rsidRDefault="00EB4225" w:rsidP="00D177BB">
      <w:pPr>
        <w:pStyle w:val="Funotentext"/>
      </w:pPr>
      <w:r>
        <w:rPr>
          <w:rStyle w:val="Funotenzeichen"/>
        </w:rPr>
        <w:footnoteRef/>
      </w:r>
      <w:r>
        <w:t xml:space="preserve"> Vgl. </w:t>
      </w:r>
      <w:r>
        <w:fldChar w:fldCharType="begin"/>
      </w:r>
      <w:r>
        <w:instrText xml:space="preserve"> ADDIN EN.CITE &lt;EndNote&gt;&lt;Cite&gt;&lt;Author&gt;Hauschildt&lt;/Author&gt;&lt;Year&gt;2003&lt;/Year&gt;&lt;RecNum&gt;1109&lt;/RecNum&gt;&lt;DisplayText&gt;Eberhard Hauschildt 2003, ibid.&lt;/DisplayText&gt;&lt;record&gt;&lt;rec-number&gt;1109&lt;/rec-number&gt;&lt;foreign-keys&gt;&lt;key app="EN" db-id="0t0dxv9vetdatmef0a959d9wdwf995aa9dxw"&gt;1109&lt;/key&gt;&lt;/foreign-keys&gt;&lt;ref-type name="Journal Article"&gt;17&lt;/ref-type&gt;&lt;contributors&gt;&lt;authors&gt;&lt;author&gt;Eberhard Hauschildt&lt;/author&gt;&lt;/authors&gt;&lt;/contributors&gt;&lt;titles&gt;&lt;title&gt;Ist Mission Dialog?&lt;/title&gt;&lt;secondary-title&gt;PTh&lt;/secondary-title&gt;&lt;/titles&gt;&lt;periodical&gt;&lt;full-title&gt;PTh&lt;/full-title&gt;&lt;/periodical&gt;&lt;pages&gt;300-305&lt;/pages&gt;&lt;volume&gt;92&lt;/volume&gt;&lt;dates&gt;&lt;year&gt;2003&lt;/year&gt;&lt;/dates&gt;&lt;urls&gt;&lt;/urls&gt;&lt;/record&gt;&lt;/Cite&gt;&lt;/EndNote&gt;</w:instrText>
      </w:r>
      <w:r>
        <w:fldChar w:fldCharType="separate"/>
      </w:r>
      <w:r>
        <w:rPr>
          <w:noProof/>
        </w:rPr>
        <w:t>Eberhard Hauschildt 2003, ibid.</w:t>
      </w:r>
      <w:r>
        <w:fldChar w:fldCharType="end"/>
      </w:r>
      <w:r>
        <w:t>300-305.</w:t>
      </w:r>
    </w:p>
  </w:footnote>
  <w:footnote w:id="19">
    <w:p w14:paraId="30293F85" w14:textId="77777777" w:rsidR="00EB4225" w:rsidRDefault="00EB4225" w:rsidP="00D177BB">
      <w:pPr>
        <w:pStyle w:val="Funotentext"/>
      </w:pPr>
      <w:r>
        <w:rPr>
          <w:rStyle w:val="Funotenzeichen"/>
        </w:rPr>
        <w:footnoteRef/>
      </w:r>
      <w:r>
        <w:t xml:space="preserve"> </w:t>
      </w:r>
      <w:r>
        <w:fldChar w:fldCharType="begin"/>
      </w:r>
      <w:r>
        <w:instrText xml:space="preserve"> ADDIN EN.CITE &lt;EndNote&gt;&lt;Cite&gt;&lt;Author&gt;Sauter&lt;/Author&gt;&lt;Year&gt;1998&lt;/Year&gt;&lt;RecNum&gt;2810&lt;/RecNum&gt;&lt;DisplayText&gt;Gerhard Sauter 1998&lt;/DisplayText&gt;&lt;record&gt;&lt;rec-number&gt;2810&lt;/rec-number&gt;&lt;foreign-keys&gt;&lt;key app="EN" db-id="0t0dxv9vetdatmef0a959d9wdwf995aa9dxw"&gt;2810&lt;/key&gt;&lt;/foreign-keys&gt;&lt;ref-type name="Book"&gt;6&lt;/ref-type&gt;&lt;contributors&gt;&lt;authors&gt;&lt;author&gt;Gerhard Sauter&lt;/author&gt;&lt;/authors&gt;&lt;/contributors&gt;&lt;titles&gt;&lt;title&gt;Zugänge zur Dogmatik&lt;/title&gt;&lt;/titles&gt;&lt;dates&gt;&lt;year&gt;1998&lt;/year&gt;&lt;/dates&gt;&lt;pub-location&gt;Göttingen&lt;/pub-location&gt;&lt;urls&gt;&lt;/urls&gt;&lt;/record&gt;&lt;/Cite&gt;&lt;/EndNote&gt;</w:instrText>
      </w:r>
      <w:r>
        <w:fldChar w:fldCharType="separate"/>
      </w:r>
      <w:r>
        <w:rPr>
          <w:noProof/>
        </w:rPr>
        <w:t>Gerhard Sauter 1998</w:t>
      </w:r>
      <w:r>
        <w:fldChar w:fldCharType="end"/>
      </w:r>
      <w:r>
        <w:t>, 233.</w:t>
      </w:r>
    </w:p>
  </w:footnote>
  <w:footnote w:id="20">
    <w:p w14:paraId="3976974D" w14:textId="77777777" w:rsidR="00EB4225" w:rsidRDefault="00EB4225" w:rsidP="00D177BB">
      <w:pPr>
        <w:pStyle w:val="Funotentext"/>
      </w:pPr>
      <w:r>
        <w:rPr>
          <w:rStyle w:val="Funotenzeichen"/>
        </w:rPr>
        <w:footnoteRef/>
      </w:r>
      <w:r>
        <w:t xml:space="preserve"> So zitiert und referiert bei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123-126.</w:t>
      </w:r>
    </w:p>
  </w:footnote>
  <w:footnote w:id="21">
    <w:p w14:paraId="1597317A" w14:textId="77777777" w:rsidR="00EB4225" w:rsidRDefault="00EB4225" w:rsidP="00D177BB">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125.</w:t>
      </w:r>
    </w:p>
  </w:footnote>
  <w:footnote w:id="22">
    <w:p w14:paraId="6451DA41" w14:textId="77777777" w:rsidR="00EB4225" w:rsidRDefault="00EB4225" w:rsidP="00D177BB">
      <w:pPr>
        <w:pStyle w:val="Funotentext"/>
      </w:pPr>
      <w:r>
        <w:rPr>
          <w:rStyle w:val="Funotenzeichen"/>
        </w:rPr>
        <w:footnoteRef/>
      </w:r>
      <w:r>
        <w:t xml:space="preserve"> </w:t>
      </w:r>
      <w:r>
        <w:fldChar w:fldCharType="begin"/>
      </w:r>
      <w:r>
        <w:instrText xml:space="preserve"> ADDIN EN.CITE &lt;EndNote&gt;&lt;Cite&gt;&lt;Author&gt;Moynagh&lt;/Author&gt;&lt;Year&gt;2012&lt;/Year&gt;&lt;RecNum&gt;2706&lt;/RecNum&gt;&lt;DisplayText&gt;Ibid.&lt;/DisplayText&gt;&lt;record&gt;&lt;rec-number&gt;2706&lt;/rec-number&gt;&lt;foreign-keys&gt;&lt;key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Ibid.</w:t>
      </w:r>
      <w:r>
        <w:fldChar w:fldCharType="end"/>
      </w:r>
      <w:r>
        <w:t>, 126.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92C3D" w14:textId="77777777" w:rsidR="00EB4225" w:rsidRDefault="00EB4225">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3636B96E" wp14:editId="6C748F25">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A654C" w14:textId="77777777" w:rsidR="00EB4225" w:rsidRDefault="00EB42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2EEA654C" w14:textId="77777777" w:rsidR="00EB4225" w:rsidRDefault="00EB4225"/>
                </w:txbxContent>
              </v:textbox>
            </v:shape>
          </w:pict>
        </mc:Fallback>
      </mc:AlternateContent>
    </w:r>
    <w:r>
      <w:rPr>
        <w:noProof/>
        <w:lang w:eastAsia="de-DE"/>
      </w:rPr>
      <w:drawing>
        <wp:anchor distT="0" distB="0" distL="114300" distR="114300" simplePos="0" relativeHeight="251656704" behindDoc="1" locked="0" layoutInCell="1" allowOverlap="1" wp14:anchorId="4EA464A5" wp14:editId="13B5DE7E">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4325455D" wp14:editId="07E2E677">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5CE3162C" w14:textId="77777777" w:rsidR="00EB4225" w:rsidRPr="00892CF7" w:rsidRDefault="00EB4225">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0393924"/>
    <w:multiLevelType w:val="hybridMultilevel"/>
    <w:tmpl w:val="B596CA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nsid w:val="11423B75"/>
    <w:multiLevelType w:val="hybridMultilevel"/>
    <w:tmpl w:val="628E49E2"/>
    <w:lvl w:ilvl="0" w:tplc="3DF41106">
      <w:start w:val="2"/>
      <w:numFmt w:val="bullet"/>
      <w:pStyle w:val="SprechblasentextZeichen"/>
      <w:lvlText w:val=""/>
      <w:lvlJc w:val="left"/>
      <w:pPr>
        <w:ind w:left="644"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9">
    <w:nsid w:val="16F2092D"/>
    <w:multiLevelType w:val="hybridMultilevel"/>
    <w:tmpl w:val="8ED2AA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EEE3633"/>
    <w:multiLevelType w:val="hybridMultilevel"/>
    <w:tmpl w:val="F8AECD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5A77DE2"/>
    <w:multiLevelType w:val="hybridMultilevel"/>
    <w:tmpl w:val="45506B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8C219A4"/>
    <w:multiLevelType w:val="hybridMultilevel"/>
    <w:tmpl w:val="BC4E77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5">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17">
    <w:nsid w:val="45B27C4D"/>
    <w:multiLevelType w:val="hybridMultilevel"/>
    <w:tmpl w:val="C4CA28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2B073FF"/>
    <w:multiLevelType w:val="hybridMultilevel"/>
    <w:tmpl w:val="A2D2E32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A9304CF"/>
    <w:multiLevelType w:val="hybridMultilevel"/>
    <w:tmpl w:val="62F270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EB92DEE"/>
    <w:multiLevelType w:val="hybridMultilevel"/>
    <w:tmpl w:val="6DE42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8067A33"/>
    <w:multiLevelType w:val="hybridMultilevel"/>
    <w:tmpl w:val="B84236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9785EB3"/>
    <w:multiLevelType w:val="hybridMultilevel"/>
    <w:tmpl w:val="A25411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5"/>
  </w:num>
  <w:num w:numId="4">
    <w:abstractNumId w:val="3"/>
  </w:num>
  <w:num w:numId="5">
    <w:abstractNumId w:val="2"/>
  </w:num>
  <w:num w:numId="6">
    <w:abstractNumId w:val="1"/>
  </w:num>
  <w:num w:numId="7">
    <w:abstractNumId w:val="0"/>
  </w:num>
  <w:num w:numId="8">
    <w:abstractNumId w:val="16"/>
  </w:num>
  <w:num w:numId="9">
    <w:abstractNumId w:val="8"/>
  </w:num>
  <w:num w:numId="10">
    <w:abstractNumId w:val="23"/>
  </w:num>
  <w:num w:numId="11">
    <w:abstractNumId w:val="5"/>
  </w:num>
  <w:num w:numId="12">
    <w:abstractNumId w:val="11"/>
  </w:num>
  <w:num w:numId="13">
    <w:abstractNumId w:val="4"/>
  </w:num>
  <w:num w:numId="14">
    <w:abstractNumId w:val="20"/>
  </w:num>
  <w:num w:numId="15">
    <w:abstractNumId w:val="9"/>
  </w:num>
  <w:num w:numId="16">
    <w:abstractNumId w:val="18"/>
  </w:num>
  <w:num w:numId="17">
    <w:abstractNumId w:val="21"/>
  </w:num>
  <w:num w:numId="18">
    <w:abstractNumId w:val="22"/>
  </w:num>
  <w:num w:numId="19">
    <w:abstractNumId w:val="10"/>
  </w:num>
  <w:num w:numId="20">
    <w:abstractNumId w:val="7"/>
  </w:num>
  <w:num w:numId="21">
    <w:abstractNumId w:val="19"/>
  </w:num>
  <w:num w:numId="22">
    <w:abstractNumId w:val="13"/>
  </w:num>
  <w:num w:numId="23">
    <w:abstractNumId w:val="17"/>
  </w:num>
  <w:num w:numId="2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01B"/>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5EEB"/>
    <w:rsid w:val="00056256"/>
    <w:rsid w:val="00056A48"/>
    <w:rsid w:val="000570AB"/>
    <w:rsid w:val="00057140"/>
    <w:rsid w:val="000578AC"/>
    <w:rsid w:val="000609F8"/>
    <w:rsid w:val="00060FD3"/>
    <w:rsid w:val="00061C59"/>
    <w:rsid w:val="0006260B"/>
    <w:rsid w:val="00063778"/>
    <w:rsid w:val="00063EED"/>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B691A"/>
    <w:rsid w:val="000C1E93"/>
    <w:rsid w:val="000C279F"/>
    <w:rsid w:val="000C2AE0"/>
    <w:rsid w:val="000C350F"/>
    <w:rsid w:val="000C473F"/>
    <w:rsid w:val="000C4A1C"/>
    <w:rsid w:val="000C6111"/>
    <w:rsid w:val="000C69CC"/>
    <w:rsid w:val="000C731A"/>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73F"/>
    <w:rsid w:val="000E494A"/>
    <w:rsid w:val="000E4977"/>
    <w:rsid w:val="000E4BC8"/>
    <w:rsid w:val="000E4E90"/>
    <w:rsid w:val="000E7200"/>
    <w:rsid w:val="000F02FC"/>
    <w:rsid w:val="000F03D5"/>
    <w:rsid w:val="000F0DCF"/>
    <w:rsid w:val="000F184F"/>
    <w:rsid w:val="000F1A76"/>
    <w:rsid w:val="000F28DC"/>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501"/>
    <w:rsid w:val="00125AAF"/>
    <w:rsid w:val="00126D67"/>
    <w:rsid w:val="001276CD"/>
    <w:rsid w:val="00127793"/>
    <w:rsid w:val="0012786F"/>
    <w:rsid w:val="0013000B"/>
    <w:rsid w:val="001301A3"/>
    <w:rsid w:val="001318BF"/>
    <w:rsid w:val="00132633"/>
    <w:rsid w:val="00134204"/>
    <w:rsid w:val="00134F8E"/>
    <w:rsid w:val="001351DC"/>
    <w:rsid w:val="0013541C"/>
    <w:rsid w:val="00136609"/>
    <w:rsid w:val="001401D2"/>
    <w:rsid w:val="0014076A"/>
    <w:rsid w:val="00140AC5"/>
    <w:rsid w:val="00140FE3"/>
    <w:rsid w:val="0014107C"/>
    <w:rsid w:val="0014153C"/>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AD0"/>
    <w:rsid w:val="00157CFC"/>
    <w:rsid w:val="00160024"/>
    <w:rsid w:val="001601CA"/>
    <w:rsid w:val="00161420"/>
    <w:rsid w:val="00162708"/>
    <w:rsid w:val="00163675"/>
    <w:rsid w:val="00163F8A"/>
    <w:rsid w:val="001650A8"/>
    <w:rsid w:val="00167B0A"/>
    <w:rsid w:val="00167E46"/>
    <w:rsid w:val="00171D93"/>
    <w:rsid w:val="00172558"/>
    <w:rsid w:val="00173716"/>
    <w:rsid w:val="0017421B"/>
    <w:rsid w:val="0017436F"/>
    <w:rsid w:val="00174A0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538A"/>
    <w:rsid w:val="001B5DE7"/>
    <w:rsid w:val="001B6930"/>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4949"/>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53D"/>
    <w:rsid w:val="002237E2"/>
    <w:rsid w:val="00223B9D"/>
    <w:rsid w:val="00223FBD"/>
    <w:rsid w:val="00225423"/>
    <w:rsid w:val="00225EC1"/>
    <w:rsid w:val="00225F28"/>
    <w:rsid w:val="002265EA"/>
    <w:rsid w:val="00226C39"/>
    <w:rsid w:val="00226E49"/>
    <w:rsid w:val="00226F39"/>
    <w:rsid w:val="00231F59"/>
    <w:rsid w:val="00235453"/>
    <w:rsid w:val="00236950"/>
    <w:rsid w:val="00237061"/>
    <w:rsid w:val="00237D29"/>
    <w:rsid w:val="002403AA"/>
    <w:rsid w:val="002409B4"/>
    <w:rsid w:val="00241000"/>
    <w:rsid w:val="0024125A"/>
    <w:rsid w:val="0024135A"/>
    <w:rsid w:val="0024285F"/>
    <w:rsid w:val="00242D70"/>
    <w:rsid w:val="00244137"/>
    <w:rsid w:val="0024431D"/>
    <w:rsid w:val="00244667"/>
    <w:rsid w:val="00244EF6"/>
    <w:rsid w:val="00246D2E"/>
    <w:rsid w:val="00247380"/>
    <w:rsid w:val="00247825"/>
    <w:rsid w:val="00250171"/>
    <w:rsid w:val="00250C61"/>
    <w:rsid w:val="00250EA8"/>
    <w:rsid w:val="00254DB5"/>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3550"/>
    <w:rsid w:val="00284620"/>
    <w:rsid w:val="00284E44"/>
    <w:rsid w:val="00284F96"/>
    <w:rsid w:val="0028545B"/>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91A"/>
    <w:rsid w:val="002B0DFB"/>
    <w:rsid w:val="002B3575"/>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10D9"/>
    <w:rsid w:val="002E138C"/>
    <w:rsid w:val="002E1791"/>
    <w:rsid w:val="002E294B"/>
    <w:rsid w:val="002E323D"/>
    <w:rsid w:val="002E332D"/>
    <w:rsid w:val="002E3383"/>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C7E"/>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4329"/>
    <w:rsid w:val="003347BD"/>
    <w:rsid w:val="00334F05"/>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9AE"/>
    <w:rsid w:val="00351E0C"/>
    <w:rsid w:val="00351FD7"/>
    <w:rsid w:val="0035489F"/>
    <w:rsid w:val="0035645C"/>
    <w:rsid w:val="0035668F"/>
    <w:rsid w:val="00356719"/>
    <w:rsid w:val="003575A6"/>
    <w:rsid w:val="0035763D"/>
    <w:rsid w:val="0035782E"/>
    <w:rsid w:val="00360728"/>
    <w:rsid w:val="003607A0"/>
    <w:rsid w:val="003607DC"/>
    <w:rsid w:val="00360E1F"/>
    <w:rsid w:val="003615F3"/>
    <w:rsid w:val="00362449"/>
    <w:rsid w:val="0036397B"/>
    <w:rsid w:val="00363D59"/>
    <w:rsid w:val="003641BD"/>
    <w:rsid w:val="00364917"/>
    <w:rsid w:val="003672A7"/>
    <w:rsid w:val="003700B6"/>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0F89"/>
    <w:rsid w:val="0039125D"/>
    <w:rsid w:val="0039151C"/>
    <w:rsid w:val="00392F27"/>
    <w:rsid w:val="003930DD"/>
    <w:rsid w:val="00393A56"/>
    <w:rsid w:val="00393BAE"/>
    <w:rsid w:val="003941F0"/>
    <w:rsid w:val="00395EAE"/>
    <w:rsid w:val="0039680C"/>
    <w:rsid w:val="00396DA3"/>
    <w:rsid w:val="003977CF"/>
    <w:rsid w:val="003A037A"/>
    <w:rsid w:val="003A066A"/>
    <w:rsid w:val="003A10D1"/>
    <w:rsid w:val="003A3636"/>
    <w:rsid w:val="003A3FE7"/>
    <w:rsid w:val="003A3FF5"/>
    <w:rsid w:val="003A4571"/>
    <w:rsid w:val="003A4A96"/>
    <w:rsid w:val="003A63E2"/>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7641"/>
    <w:rsid w:val="003E766C"/>
    <w:rsid w:val="003E7D0F"/>
    <w:rsid w:val="003E7DA2"/>
    <w:rsid w:val="003E7EEC"/>
    <w:rsid w:val="003F0D66"/>
    <w:rsid w:val="003F15AF"/>
    <w:rsid w:val="003F1612"/>
    <w:rsid w:val="003F1E63"/>
    <w:rsid w:val="003F2684"/>
    <w:rsid w:val="003F5231"/>
    <w:rsid w:val="003F53D3"/>
    <w:rsid w:val="003F5737"/>
    <w:rsid w:val="003F70F3"/>
    <w:rsid w:val="003F75E0"/>
    <w:rsid w:val="00400630"/>
    <w:rsid w:val="0040067A"/>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3B3A"/>
    <w:rsid w:val="00415A56"/>
    <w:rsid w:val="004163BD"/>
    <w:rsid w:val="00416554"/>
    <w:rsid w:val="00416CF2"/>
    <w:rsid w:val="00416D9F"/>
    <w:rsid w:val="0041702F"/>
    <w:rsid w:val="0041752B"/>
    <w:rsid w:val="00417571"/>
    <w:rsid w:val="00421891"/>
    <w:rsid w:val="00421CF7"/>
    <w:rsid w:val="00422FA3"/>
    <w:rsid w:val="004241A5"/>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9F4"/>
    <w:rsid w:val="00435BDC"/>
    <w:rsid w:val="00436393"/>
    <w:rsid w:val="00437EF2"/>
    <w:rsid w:val="00440886"/>
    <w:rsid w:val="0044227F"/>
    <w:rsid w:val="0044351D"/>
    <w:rsid w:val="004441DB"/>
    <w:rsid w:val="0044515B"/>
    <w:rsid w:val="00445854"/>
    <w:rsid w:val="00445CB0"/>
    <w:rsid w:val="00445DBC"/>
    <w:rsid w:val="004507EC"/>
    <w:rsid w:val="00450C8B"/>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6F9C"/>
    <w:rsid w:val="00487481"/>
    <w:rsid w:val="00490495"/>
    <w:rsid w:val="00490F36"/>
    <w:rsid w:val="0049129D"/>
    <w:rsid w:val="004917F8"/>
    <w:rsid w:val="0049238A"/>
    <w:rsid w:val="00492500"/>
    <w:rsid w:val="0049268B"/>
    <w:rsid w:val="00492E50"/>
    <w:rsid w:val="00492FAD"/>
    <w:rsid w:val="004936D7"/>
    <w:rsid w:val="0049466F"/>
    <w:rsid w:val="0049661E"/>
    <w:rsid w:val="00496C54"/>
    <w:rsid w:val="0049798F"/>
    <w:rsid w:val="004A0EBB"/>
    <w:rsid w:val="004A13E5"/>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4C72"/>
    <w:rsid w:val="004B56FA"/>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F4F"/>
    <w:rsid w:val="004E7896"/>
    <w:rsid w:val="004F01B1"/>
    <w:rsid w:val="004F0C47"/>
    <w:rsid w:val="004F3344"/>
    <w:rsid w:val="004F5A78"/>
    <w:rsid w:val="004F5C78"/>
    <w:rsid w:val="004F6125"/>
    <w:rsid w:val="004F6481"/>
    <w:rsid w:val="00500910"/>
    <w:rsid w:val="0050122E"/>
    <w:rsid w:val="00502A49"/>
    <w:rsid w:val="0050303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4B85"/>
    <w:rsid w:val="0054532C"/>
    <w:rsid w:val="00545361"/>
    <w:rsid w:val="005462CB"/>
    <w:rsid w:val="00547D22"/>
    <w:rsid w:val="00550F25"/>
    <w:rsid w:val="00551C6C"/>
    <w:rsid w:val="00551DE2"/>
    <w:rsid w:val="00554CB5"/>
    <w:rsid w:val="005554F0"/>
    <w:rsid w:val="00555641"/>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543"/>
    <w:rsid w:val="005B6807"/>
    <w:rsid w:val="005B7781"/>
    <w:rsid w:val="005B7972"/>
    <w:rsid w:val="005C0A19"/>
    <w:rsid w:val="005C16EE"/>
    <w:rsid w:val="005C2C57"/>
    <w:rsid w:val="005C3C96"/>
    <w:rsid w:val="005C565D"/>
    <w:rsid w:val="005C57FA"/>
    <w:rsid w:val="005C5EA6"/>
    <w:rsid w:val="005C6CED"/>
    <w:rsid w:val="005C7964"/>
    <w:rsid w:val="005D05FE"/>
    <w:rsid w:val="005D1CBE"/>
    <w:rsid w:val="005D2572"/>
    <w:rsid w:val="005D36E9"/>
    <w:rsid w:val="005D3C0B"/>
    <w:rsid w:val="005D5586"/>
    <w:rsid w:val="005D615E"/>
    <w:rsid w:val="005D6589"/>
    <w:rsid w:val="005D73AB"/>
    <w:rsid w:val="005D7630"/>
    <w:rsid w:val="005E0A2C"/>
    <w:rsid w:val="005E0D08"/>
    <w:rsid w:val="005E35F2"/>
    <w:rsid w:val="005E3B22"/>
    <w:rsid w:val="005E4652"/>
    <w:rsid w:val="005E68B4"/>
    <w:rsid w:val="005E7651"/>
    <w:rsid w:val="005E792D"/>
    <w:rsid w:val="005E7DC5"/>
    <w:rsid w:val="005F087F"/>
    <w:rsid w:val="005F141F"/>
    <w:rsid w:val="005F1A07"/>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37D40"/>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7F0B"/>
    <w:rsid w:val="00662400"/>
    <w:rsid w:val="0066316E"/>
    <w:rsid w:val="00664EB4"/>
    <w:rsid w:val="006652CC"/>
    <w:rsid w:val="0066530A"/>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911BE"/>
    <w:rsid w:val="00691894"/>
    <w:rsid w:val="0069322F"/>
    <w:rsid w:val="006938E9"/>
    <w:rsid w:val="00693A3A"/>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745"/>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E0529"/>
    <w:rsid w:val="006E0986"/>
    <w:rsid w:val="006E0AA3"/>
    <w:rsid w:val="006E145F"/>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1BC4"/>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7435"/>
    <w:rsid w:val="007A77B9"/>
    <w:rsid w:val="007A7962"/>
    <w:rsid w:val="007B096C"/>
    <w:rsid w:val="007B1509"/>
    <w:rsid w:val="007B1768"/>
    <w:rsid w:val="007B1C08"/>
    <w:rsid w:val="007B2093"/>
    <w:rsid w:val="007B29CB"/>
    <w:rsid w:val="007B2CFB"/>
    <w:rsid w:val="007B3289"/>
    <w:rsid w:val="007B3972"/>
    <w:rsid w:val="007B39AA"/>
    <w:rsid w:val="007B4D86"/>
    <w:rsid w:val="007B4F4B"/>
    <w:rsid w:val="007B5043"/>
    <w:rsid w:val="007B5059"/>
    <w:rsid w:val="007B79DC"/>
    <w:rsid w:val="007C00F9"/>
    <w:rsid w:val="007C012D"/>
    <w:rsid w:val="007C1DDF"/>
    <w:rsid w:val="007C2BD1"/>
    <w:rsid w:val="007C30FA"/>
    <w:rsid w:val="007C3299"/>
    <w:rsid w:val="007C367B"/>
    <w:rsid w:val="007C3D9A"/>
    <w:rsid w:val="007C427E"/>
    <w:rsid w:val="007C42E2"/>
    <w:rsid w:val="007C4548"/>
    <w:rsid w:val="007C47F5"/>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180"/>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3814"/>
    <w:rsid w:val="0081386A"/>
    <w:rsid w:val="008138F4"/>
    <w:rsid w:val="00813AE4"/>
    <w:rsid w:val="00815241"/>
    <w:rsid w:val="00815E61"/>
    <w:rsid w:val="00816032"/>
    <w:rsid w:val="008162F3"/>
    <w:rsid w:val="0082049D"/>
    <w:rsid w:val="008218D4"/>
    <w:rsid w:val="00822159"/>
    <w:rsid w:val="0082269C"/>
    <w:rsid w:val="008228D2"/>
    <w:rsid w:val="00823CC7"/>
    <w:rsid w:val="008246C6"/>
    <w:rsid w:val="008249C7"/>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57B7A"/>
    <w:rsid w:val="0086180E"/>
    <w:rsid w:val="00861F2A"/>
    <w:rsid w:val="0086257E"/>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DEC"/>
    <w:rsid w:val="00873E6D"/>
    <w:rsid w:val="00873F7F"/>
    <w:rsid w:val="00875A5C"/>
    <w:rsid w:val="00880231"/>
    <w:rsid w:val="008811B5"/>
    <w:rsid w:val="0088368C"/>
    <w:rsid w:val="00884946"/>
    <w:rsid w:val="0088677B"/>
    <w:rsid w:val="00887E5D"/>
    <w:rsid w:val="0089100E"/>
    <w:rsid w:val="00893271"/>
    <w:rsid w:val="0089434F"/>
    <w:rsid w:val="008943C0"/>
    <w:rsid w:val="0089459F"/>
    <w:rsid w:val="00894AC6"/>
    <w:rsid w:val="00894B51"/>
    <w:rsid w:val="00894FDA"/>
    <w:rsid w:val="0089508D"/>
    <w:rsid w:val="008956BE"/>
    <w:rsid w:val="00895CF9"/>
    <w:rsid w:val="00897B18"/>
    <w:rsid w:val="00897C42"/>
    <w:rsid w:val="008A03D8"/>
    <w:rsid w:val="008A177D"/>
    <w:rsid w:val="008A2A12"/>
    <w:rsid w:val="008A32BE"/>
    <w:rsid w:val="008A4E22"/>
    <w:rsid w:val="008A549C"/>
    <w:rsid w:val="008A7234"/>
    <w:rsid w:val="008A7C73"/>
    <w:rsid w:val="008A7CB0"/>
    <w:rsid w:val="008A7F6D"/>
    <w:rsid w:val="008B04E4"/>
    <w:rsid w:val="008B124D"/>
    <w:rsid w:val="008B1D5D"/>
    <w:rsid w:val="008B2432"/>
    <w:rsid w:val="008B29DB"/>
    <w:rsid w:val="008B2B80"/>
    <w:rsid w:val="008B41E8"/>
    <w:rsid w:val="008B46E2"/>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E789F"/>
    <w:rsid w:val="008F0459"/>
    <w:rsid w:val="008F05A9"/>
    <w:rsid w:val="008F1010"/>
    <w:rsid w:val="008F2177"/>
    <w:rsid w:val="008F2CE0"/>
    <w:rsid w:val="008F4522"/>
    <w:rsid w:val="008F49D4"/>
    <w:rsid w:val="008F4AA6"/>
    <w:rsid w:val="008F5C70"/>
    <w:rsid w:val="008F6DD6"/>
    <w:rsid w:val="008F7E37"/>
    <w:rsid w:val="009001C3"/>
    <w:rsid w:val="00902DD7"/>
    <w:rsid w:val="0090341C"/>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D9B"/>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2EC8"/>
    <w:rsid w:val="009438E3"/>
    <w:rsid w:val="00944A88"/>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A0B13"/>
    <w:rsid w:val="009A105D"/>
    <w:rsid w:val="009A1642"/>
    <w:rsid w:val="009A1875"/>
    <w:rsid w:val="009A18F5"/>
    <w:rsid w:val="009A1E16"/>
    <w:rsid w:val="009A2AC2"/>
    <w:rsid w:val="009A33C3"/>
    <w:rsid w:val="009A3CAD"/>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1A8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F0D71"/>
    <w:rsid w:val="009F10C4"/>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BE6"/>
    <w:rsid w:val="00A15C8A"/>
    <w:rsid w:val="00A15E72"/>
    <w:rsid w:val="00A16BDA"/>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19C9"/>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299"/>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C00A7"/>
    <w:rsid w:val="00AC05CD"/>
    <w:rsid w:val="00AC15DF"/>
    <w:rsid w:val="00AC191F"/>
    <w:rsid w:val="00AC1C86"/>
    <w:rsid w:val="00AC1D88"/>
    <w:rsid w:val="00AC3065"/>
    <w:rsid w:val="00AC3220"/>
    <w:rsid w:val="00AC3964"/>
    <w:rsid w:val="00AC39B9"/>
    <w:rsid w:val="00AC3B9C"/>
    <w:rsid w:val="00AC3F30"/>
    <w:rsid w:val="00AC47E9"/>
    <w:rsid w:val="00AC4BAB"/>
    <w:rsid w:val="00AC5260"/>
    <w:rsid w:val="00AD08FD"/>
    <w:rsid w:val="00AD0919"/>
    <w:rsid w:val="00AD161A"/>
    <w:rsid w:val="00AD176A"/>
    <w:rsid w:val="00AD19E9"/>
    <w:rsid w:val="00AD6D8E"/>
    <w:rsid w:val="00AD71EA"/>
    <w:rsid w:val="00AD75D5"/>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4CE"/>
    <w:rsid w:val="00AF0B56"/>
    <w:rsid w:val="00AF1097"/>
    <w:rsid w:val="00AF2703"/>
    <w:rsid w:val="00AF2EE4"/>
    <w:rsid w:val="00AF335D"/>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1758B"/>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282C"/>
    <w:rsid w:val="00B534B8"/>
    <w:rsid w:val="00B55C9D"/>
    <w:rsid w:val="00B56525"/>
    <w:rsid w:val="00B56864"/>
    <w:rsid w:val="00B56EAC"/>
    <w:rsid w:val="00B575B1"/>
    <w:rsid w:val="00B5772C"/>
    <w:rsid w:val="00B605DF"/>
    <w:rsid w:val="00B606A7"/>
    <w:rsid w:val="00B60716"/>
    <w:rsid w:val="00B6110E"/>
    <w:rsid w:val="00B61466"/>
    <w:rsid w:val="00B620FB"/>
    <w:rsid w:val="00B621F7"/>
    <w:rsid w:val="00B622C6"/>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25E"/>
    <w:rsid w:val="00BA79FD"/>
    <w:rsid w:val="00BA7EFB"/>
    <w:rsid w:val="00BB060D"/>
    <w:rsid w:val="00BB0AE6"/>
    <w:rsid w:val="00BB1E1F"/>
    <w:rsid w:val="00BB373E"/>
    <w:rsid w:val="00BB3B2D"/>
    <w:rsid w:val="00BB3B44"/>
    <w:rsid w:val="00BB3B86"/>
    <w:rsid w:val="00BB7514"/>
    <w:rsid w:val="00BC002F"/>
    <w:rsid w:val="00BC0093"/>
    <w:rsid w:val="00BC083F"/>
    <w:rsid w:val="00BC0B50"/>
    <w:rsid w:val="00BC1B97"/>
    <w:rsid w:val="00BC2616"/>
    <w:rsid w:val="00BC30DF"/>
    <w:rsid w:val="00BC424F"/>
    <w:rsid w:val="00BC45C7"/>
    <w:rsid w:val="00BC52A6"/>
    <w:rsid w:val="00BC7FDB"/>
    <w:rsid w:val="00BD020E"/>
    <w:rsid w:val="00BD0F56"/>
    <w:rsid w:val="00BD0FDF"/>
    <w:rsid w:val="00BD17F7"/>
    <w:rsid w:val="00BD1EAE"/>
    <w:rsid w:val="00BD28D1"/>
    <w:rsid w:val="00BD38C2"/>
    <w:rsid w:val="00BD43E5"/>
    <w:rsid w:val="00BD4C72"/>
    <w:rsid w:val="00BD4D1A"/>
    <w:rsid w:val="00BD521F"/>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84F"/>
    <w:rsid w:val="00C126FF"/>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4B64"/>
    <w:rsid w:val="00C357E2"/>
    <w:rsid w:val="00C3708D"/>
    <w:rsid w:val="00C37C3E"/>
    <w:rsid w:val="00C40518"/>
    <w:rsid w:val="00C4315A"/>
    <w:rsid w:val="00C43298"/>
    <w:rsid w:val="00C434E4"/>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A73"/>
    <w:rsid w:val="00C95CD9"/>
    <w:rsid w:val="00C96EC9"/>
    <w:rsid w:val="00C9748A"/>
    <w:rsid w:val="00C97718"/>
    <w:rsid w:val="00C977AF"/>
    <w:rsid w:val="00C97953"/>
    <w:rsid w:val="00C97979"/>
    <w:rsid w:val="00C97BB3"/>
    <w:rsid w:val="00C97FEE"/>
    <w:rsid w:val="00CA00E1"/>
    <w:rsid w:val="00CA0FB7"/>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CC"/>
    <w:rsid w:val="00CB7EF9"/>
    <w:rsid w:val="00CB7FD0"/>
    <w:rsid w:val="00CC0071"/>
    <w:rsid w:val="00CC0CE8"/>
    <w:rsid w:val="00CC1C3A"/>
    <w:rsid w:val="00CC1C89"/>
    <w:rsid w:val="00CC2729"/>
    <w:rsid w:val="00CC28A8"/>
    <w:rsid w:val="00CC2925"/>
    <w:rsid w:val="00CC30CD"/>
    <w:rsid w:val="00CC45CD"/>
    <w:rsid w:val="00CC5048"/>
    <w:rsid w:val="00CC591C"/>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365F"/>
    <w:rsid w:val="00CD5797"/>
    <w:rsid w:val="00CD6209"/>
    <w:rsid w:val="00CD7B59"/>
    <w:rsid w:val="00CD7C52"/>
    <w:rsid w:val="00CD7D92"/>
    <w:rsid w:val="00CE4150"/>
    <w:rsid w:val="00CE458E"/>
    <w:rsid w:val="00CE4D5C"/>
    <w:rsid w:val="00CE4F05"/>
    <w:rsid w:val="00CE53AA"/>
    <w:rsid w:val="00CE552B"/>
    <w:rsid w:val="00CE6E38"/>
    <w:rsid w:val="00CE6F0F"/>
    <w:rsid w:val="00CF0A57"/>
    <w:rsid w:val="00CF0B56"/>
    <w:rsid w:val="00CF1A4A"/>
    <w:rsid w:val="00CF1A60"/>
    <w:rsid w:val="00CF2A98"/>
    <w:rsid w:val="00CF2C0E"/>
    <w:rsid w:val="00CF3086"/>
    <w:rsid w:val="00CF3552"/>
    <w:rsid w:val="00CF4F51"/>
    <w:rsid w:val="00CF5478"/>
    <w:rsid w:val="00CF551A"/>
    <w:rsid w:val="00CF789D"/>
    <w:rsid w:val="00CF7F00"/>
    <w:rsid w:val="00D00B8F"/>
    <w:rsid w:val="00D015B5"/>
    <w:rsid w:val="00D01D4E"/>
    <w:rsid w:val="00D0272D"/>
    <w:rsid w:val="00D031CB"/>
    <w:rsid w:val="00D031DB"/>
    <w:rsid w:val="00D03253"/>
    <w:rsid w:val="00D060DB"/>
    <w:rsid w:val="00D07D20"/>
    <w:rsid w:val="00D110D4"/>
    <w:rsid w:val="00D12C91"/>
    <w:rsid w:val="00D13018"/>
    <w:rsid w:val="00D13A3F"/>
    <w:rsid w:val="00D13A6D"/>
    <w:rsid w:val="00D15356"/>
    <w:rsid w:val="00D15D6A"/>
    <w:rsid w:val="00D16AB8"/>
    <w:rsid w:val="00D177BB"/>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6D05"/>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577E4"/>
    <w:rsid w:val="00D6080B"/>
    <w:rsid w:val="00D623C6"/>
    <w:rsid w:val="00D62B2C"/>
    <w:rsid w:val="00D6314B"/>
    <w:rsid w:val="00D63E1C"/>
    <w:rsid w:val="00D647F3"/>
    <w:rsid w:val="00D64910"/>
    <w:rsid w:val="00D64BAA"/>
    <w:rsid w:val="00D64FF9"/>
    <w:rsid w:val="00D65A35"/>
    <w:rsid w:val="00D700A0"/>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36EB"/>
    <w:rsid w:val="00D9525E"/>
    <w:rsid w:val="00D95291"/>
    <w:rsid w:val="00D959BB"/>
    <w:rsid w:val="00D963B2"/>
    <w:rsid w:val="00D964A9"/>
    <w:rsid w:val="00D96731"/>
    <w:rsid w:val="00DA103F"/>
    <w:rsid w:val="00DA1D83"/>
    <w:rsid w:val="00DA1E4E"/>
    <w:rsid w:val="00DA2F87"/>
    <w:rsid w:val="00DA5574"/>
    <w:rsid w:val="00DA565C"/>
    <w:rsid w:val="00DA5D6D"/>
    <w:rsid w:val="00DA6396"/>
    <w:rsid w:val="00DA6CD4"/>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3A65"/>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B08"/>
    <w:rsid w:val="00DD7267"/>
    <w:rsid w:val="00DD73DA"/>
    <w:rsid w:val="00DE02B6"/>
    <w:rsid w:val="00DE0DC8"/>
    <w:rsid w:val="00DE1485"/>
    <w:rsid w:val="00DE1757"/>
    <w:rsid w:val="00DE21A8"/>
    <w:rsid w:val="00DE316A"/>
    <w:rsid w:val="00DE31A9"/>
    <w:rsid w:val="00DE31D4"/>
    <w:rsid w:val="00DE3B4F"/>
    <w:rsid w:val="00DE3EA1"/>
    <w:rsid w:val="00DE4FE4"/>
    <w:rsid w:val="00DE5493"/>
    <w:rsid w:val="00DE62C7"/>
    <w:rsid w:val="00DE6625"/>
    <w:rsid w:val="00DE6A29"/>
    <w:rsid w:val="00DE7100"/>
    <w:rsid w:val="00DE74A1"/>
    <w:rsid w:val="00DE7807"/>
    <w:rsid w:val="00DF047D"/>
    <w:rsid w:val="00DF0C66"/>
    <w:rsid w:val="00DF173B"/>
    <w:rsid w:val="00DF23DF"/>
    <w:rsid w:val="00DF3860"/>
    <w:rsid w:val="00DF3911"/>
    <w:rsid w:val="00DF3B23"/>
    <w:rsid w:val="00DF3C4D"/>
    <w:rsid w:val="00DF5565"/>
    <w:rsid w:val="00DF5E4F"/>
    <w:rsid w:val="00DF7472"/>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0BA3"/>
    <w:rsid w:val="00E21F4C"/>
    <w:rsid w:val="00E2327E"/>
    <w:rsid w:val="00E24BEF"/>
    <w:rsid w:val="00E2557B"/>
    <w:rsid w:val="00E271E9"/>
    <w:rsid w:val="00E31B05"/>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1528"/>
    <w:rsid w:val="00E522AA"/>
    <w:rsid w:val="00E52EDB"/>
    <w:rsid w:val="00E537C2"/>
    <w:rsid w:val="00E53899"/>
    <w:rsid w:val="00E556EA"/>
    <w:rsid w:val="00E56B34"/>
    <w:rsid w:val="00E57176"/>
    <w:rsid w:val="00E57759"/>
    <w:rsid w:val="00E57A42"/>
    <w:rsid w:val="00E601A3"/>
    <w:rsid w:val="00E6021E"/>
    <w:rsid w:val="00E61F54"/>
    <w:rsid w:val="00E62201"/>
    <w:rsid w:val="00E6240B"/>
    <w:rsid w:val="00E6282F"/>
    <w:rsid w:val="00E62E9C"/>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4225"/>
    <w:rsid w:val="00EB636E"/>
    <w:rsid w:val="00EB6FF2"/>
    <w:rsid w:val="00EB7451"/>
    <w:rsid w:val="00EB7E09"/>
    <w:rsid w:val="00EC0D9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614"/>
    <w:rsid w:val="00F077CB"/>
    <w:rsid w:val="00F07E41"/>
    <w:rsid w:val="00F103E4"/>
    <w:rsid w:val="00F104EC"/>
    <w:rsid w:val="00F10996"/>
    <w:rsid w:val="00F10DCD"/>
    <w:rsid w:val="00F1159E"/>
    <w:rsid w:val="00F11ECA"/>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342"/>
    <w:rsid w:val="00F26AF9"/>
    <w:rsid w:val="00F30617"/>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364C"/>
    <w:rsid w:val="00F54B02"/>
    <w:rsid w:val="00F54EE7"/>
    <w:rsid w:val="00F56BFC"/>
    <w:rsid w:val="00F603A9"/>
    <w:rsid w:val="00F64F3B"/>
    <w:rsid w:val="00F6679D"/>
    <w:rsid w:val="00F71AAF"/>
    <w:rsid w:val="00F729E0"/>
    <w:rsid w:val="00F72C80"/>
    <w:rsid w:val="00F737A5"/>
    <w:rsid w:val="00F73D84"/>
    <w:rsid w:val="00F75535"/>
    <w:rsid w:val="00F75F12"/>
    <w:rsid w:val="00F76483"/>
    <w:rsid w:val="00F76A98"/>
    <w:rsid w:val="00F7758C"/>
    <w:rsid w:val="00F7794E"/>
    <w:rsid w:val="00F8000E"/>
    <w:rsid w:val="00F800EE"/>
    <w:rsid w:val="00F80A82"/>
    <w:rsid w:val="00F81A79"/>
    <w:rsid w:val="00F822D2"/>
    <w:rsid w:val="00F83059"/>
    <w:rsid w:val="00F830A0"/>
    <w:rsid w:val="00F83128"/>
    <w:rsid w:val="00F83483"/>
    <w:rsid w:val="00F84535"/>
    <w:rsid w:val="00F85482"/>
    <w:rsid w:val="00F855E7"/>
    <w:rsid w:val="00F864C1"/>
    <w:rsid w:val="00F86710"/>
    <w:rsid w:val="00F86B46"/>
    <w:rsid w:val="00F86D7E"/>
    <w:rsid w:val="00F8777C"/>
    <w:rsid w:val="00F901B9"/>
    <w:rsid w:val="00F90914"/>
    <w:rsid w:val="00F90BBD"/>
    <w:rsid w:val="00F90E8B"/>
    <w:rsid w:val="00F91261"/>
    <w:rsid w:val="00F91897"/>
    <w:rsid w:val="00F91EDD"/>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18F"/>
    <w:rsid w:val="00FA7DE2"/>
    <w:rsid w:val="00FB0B22"/>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5326"/>
    <w:rsid w:val="00FD5398"/>
    <w:rsid w:val="00FD6239"/>
    <w:rsid w:val="00FD6702"/>
    <w:rsid w:val="00FD724B"/>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3774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0">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2">
    <w:name w:val="Sprechblasentext Zeichen"/>
    <w:basedOn w:val="Absatzstandardschriftart"/>
    <w:semiHidden/>
    <w:rsid w:val="00F32931"/>
    <w:rPr>
      <w:rFonts w:ascii="Lucida Grande" w:hAnsi="Lucida Grande"/>
      <w:sz w:val="18"/>
      <w:szCs w:val="18"/>
    </w:rPr>
  </w:style>
  <w:style w:type="character" w:customStyle="1" w:styleId="SprechblasentextZeichen3">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4">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8">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0">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2">
    <w:name w:val="Sprechblasentext Zeichen"/>
    <w:basedOn w:val="Absatzstandardschriftart"/>
    <w:semiHidden/>
    <w:rsid w:val="00F32931"/>
    <w:rPr>
      <w:rFonts w:ascii="Lucida Grande" w:hAnsi="Lucida Grande"/>
      <w:sz w:val="18"/>
      <w:szCs w:val="18"/>
    </w:rPr>
  </w:style>
  <w:style w:type="character" w:customStyle="1" w:styleId="SprechblasentextZeichen3">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4">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8">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de.wikipedia.org/wiki/Religionsfreih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5</Pages>
  <Words>1337</Words>
  <Characters>8424</Characters>
  <Application>Microsoft Macintosh Word</Application>
  <DocSecurity>0</DocSecurity>
  <Lines>70</Lines>
  <Paragraphs>19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9742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22</cp:revision>
  <cp:lastPrinted>2012-11-29T11:03:00Z</cp:lastPrinted>
  <dcterms:created xsi:type="dcterms:W3CDTF">2012-12-07T08:21:00Z</dcterms:created>
  <dcterms:modified xsi:type="dcterms:W3CDTF">2012-12-08T12:56:00Z</dcterms:modified>
</cp:coreProperties>
</file>