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DDFD0"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598C8A18" wp14:editId="7F9A8DD0">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19A002B6" w14:textId="77777777" w:rsidR="000D11E1" w:rsidRPr="00FA66BD" w:rsidRDefault="000D11E1" w:rsidP="00580EBE">
      <w:pPr>
        <w:rPr>
          <w:rFonts w:asciiTheme="minorHAnsi" w:hAnsiTheme="minorHAnsi"/>
          <w:szCs w:val="24"/>
        </w:rPr>
      </w:pPr>
    </w:p>
    <w:p w14:paraId="2A94B2EC" w14:textId="77777777" w:rsidR="000D11E1" w:rsidRPr="00FA66BD" w:rsidRDefault="000D11E1" w:rsidP="00580EBE">
      <w:pPr>
        <w:rPr>
          <w:rFonts w:asciiTheme="minorHAnsi" w:hAnsiTheme="minorHAnsi"/>
          <w:szCs w:val="24"/>
        </w:rPr>
      </w:pPr>
    </w:p>
    <w:p w14:paraId="25A0C10E" w14:textId="77777777" w:rsidR="000D11E1" w:rsidRPr="00FA66BD" w:rsidRDefault="000D11E1" w:rsidP="00580EBE">
      <w:pPr>
        <w:rPr>
          <w:rFonts w:asciiTheme="minorHAnsi" w:hAnsiTheme="minorHAnsi"/>
        </w:rPr>
      </w:pPr>
    </w:p>
    <w:p w14:paraId="231B0E34"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673F4F42" wp14:editId="02D089FF">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FFCABBE"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7B558378"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777EBC">
        <w:rPr>
          <w:rFonts w:asciiTheme="minorHAnsi" w:hAnsiTheme="minorHAnsi"/>
          <w:sz w:val="32"/>
          <w:szCs w:val="48"/>
        </w:rPr>
        <w:t>emester 2012-13 (Arbeitsblatt 13</w:t>
      </w:r>
      <w:r w:rsidR="00B65C9D">
        <w:rPr>
          <w:rFonts w:asciiTheme="minorHAnsi" w:hAnsiTheme="minorHAnsi"/>
          <w:sz w:val="32"/>
          <w:szCs w:val="48"/>
        </w:rPr>
        <w:t>)</w:t>
      </w:r>
    </w:p>
    <w:p w14:paraId="1AA17E91"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154AA826" wp14:editId="6C21693C">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408150C6" w14:textId="77777777" w:rsidR="000D11E1" w:rsidRPr="00FA66BD" w:rsidRDefault="000D11E1" w:rsidP="00580EBE">
      <w:pPr>
        <w:rPr>
          <w:rFonts w:asciiTheme="minorHAnsi" w:hAnsiTheme="minorHAnsi"/>
          <w:sz w:val="12"/>
          <w:szCs w:val="12"/>
        </w:rPr>
      </w:pPr>
    </w:p>
    <w:p w14:paraId="3C049C70"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777EBC">
        <w:rPr>
          <w:rFonts w:asciiTheme="minorHAnsi" w:hAnsiTheme="minorHAnsi"/>
          <w:sz w:val="28"/>
          <w:szCs w:val="32"/>
        </w:rPr>
        <w:t>25</w:t>
      </w:r>
      <w:r w:rsidR="007C30FA">
        <w:rPr>
          <w:rFonts w:asciiTheme="minorHAnsi" w:hAnsiTheme="minorHAnsi"/>
          <w:sz w:val="28"/>
          <w:szCs w:val="32"/>
        </w:rPr>
        <w:t xml:space="preserve">. </w:t>
      </w:r>
      <w:r w:rsidR="00717A86">
        <w:rPr>
          <w:rFonts w:asciiTheme="minorHAnsi" w:hAnsiTheme="minorHAnsi"/>
          <w:sz w:val="28"/>
          <w:szCs w:val="32"/>
        </w:rPr>
        <w:t>J</w:t>
      </w:r>
      <w:r w:rsidR="002A6610">
        <w:rPr>
          <w:rFonts w:asciiTheme="minorHAnsi" w:hAnsiTheme="minorHAnsi"/>
          <w:sz w:val="28"/>
          <w:szCs w:val="32"/>
        </w:rPr>
        <w:t>anuar 2013</w:t>
      </w:r>
    </w:p>
    <w:p w14:paraId="17F24CBB" w14:textId="77777777" w:rsidR="0003468F" w:rsidRDefault="0003468F" w:rsidP="008F4AA6">
      <w:pPr>
        <w:pStyle w:val="berschrift1"/>
      </w:pPr>
      <w:bookmarkStart w:id="0" w:name="_Toc211165368"/>
      <w:bookmarkStart w:id="1" w:name="OLE_LINK13"/>
      <w:bookmarkStart w:id="2" w:name="OLE_LINK14"/>
    </w:p>
    <w:p w14:paraId="457665D2" w14:textId="77777777" w:rsidR="0003468F" w:rsidRDefault="0003468F" w:rsidP="008F4AA6">
      <w:pPr>
        <w:pStyle w:val="berschrift1"/>
      </w:pPr>
    </w:p>
    <w:p w14:paraId="6A2CF27E" w14:textId="77777777" w:rsidR="0003468F" w:rsidRDefault="0003468F" w:rsidP="008F4AA6">
      <w:pPr>
        <w:pStyle w:val="berschrift1"/>
      </w:pPr>
    </w:p>
    <w:p w14:paraId="0BBF2C1A" w14:textId="77777777" w:rsidR="00E53219" w:rsidRPr="003E3366" w:rsidRDefault="00E53219" w:rsidP="00E53219">
      <w:pPr>
        <w:pStyle w:val="berschrift1"/>
        <w:rPr>
          <w:rFonts w:eastAsia="Calibri"/>
          <w:color w:val="auto"/>
          <w:sz w:val="24"/>
          <w:szCs w:val="24"/>
        </w:rPr>
      </w:pPr>
      <w:bookmarkStart w:id="3" w:name="_Toc220240174"/>
      <w:bookmarkEnd w:id="0"/>
      <w:bookmarkEnd w:id="1"/>
      <w:bookmarkEnd w:id="2"/>
      <w:r>
        <w:rPr>
          <w:szCs w:val="24"/>
        </w:rPr>
        <w:t>12. Der Kern des Gemeindeaufbaus: Die Grundentscheidungen</w:t>
      </w:r>
      <w:bookmarkEnd w:id="3"/>
    </w:p>
    <w:p w14:paraId="1554AAD1" w14:textId="77777777" w:rsidR="00E53219" w:rsidRDefault="00E53219" w:rsidP="00E53219">
      <w:pPr>
        <w:pStyle w:val="berschrift2"/>
      </w:pPr>
      <w:bookmarkStart w:id="4" w:name="_Toc136740511"/>
      <w:bookmarkStart w:id="5" w:name="_Toc220240175"/>
      <w:r>
        <w:t>12.1 Drei Grundentscheidungen</w:t>
      </w:r>
      <w:bookmarkEnd w:id="5"/>
    </w:p>
    <w:p w14:paraId="6C29D7F5" w14:textId="23A6DAEB" w:rsidR="00E53219" w:rsidRDefault="00704D0C" w:rsidP="00704D0C">
      <w:pPr>
        <w:jc w:val="center"/>
      </w:pPr>
      <w:r w:rsidRPr="00704D0C">
        <w:drawing>
          <wp:inline distT="0" distB="0" distL="0" distR="0" wp14:anchorId="059FBD59" wp14:editId="3D4C00C1">
            <wp:extent cx="4331045" cy="3246593"/>
            <wp:effectExtent l="0" t="0" r="0" b="508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115" cy="3248894"/>
                    </a:xfrm>
                    <a:prstGeom prst="rect">
                      <a:avLst/>
                    </a:prstGeom>
                    <a:noFill/>
                    <a:ln>
                      <a:noFill/>
                    </a:ln>
                  </pic:spPr>
                </pic:pic>
              </a:graphicData>
            </a:graphic>
          </wp:inline>
        </w:drawing>
      </w:r>
      <w:r w:rsidR="00E53219">
        <w:rPr>
          <w:rStyle w:val="Funotenzeichen"/>
        </w:rPr>
        <w:footnoteReference w:id="1"/>
      </w:r>
    </w:p>
    <w:p w14:paraId="610F45E2" w14:textId="77777777" w:rsidR="00E53219" w:rsidRDefault="00E53219" w:rsidP="00E53219">
      <w:pPr>
        <w:pStyle w:val="berschrift2"/>
      </w:pPr>
      <w:bookmarkStart w:id="6" w:name="_Toc220240176"/>
      <w:r>
        <w:lastRenderedPageBreak/>
        <w:t>12.2 Der Kern</w:t>
      </w:r>
      <w:bookmarkEnd w:id="6"/>
    </w:p>
    <w:p w14:paraId="3E46ABF7" w14:textId="2B0735A0" w:rsidR="004B6B28" w:rsidRPr="004B6B28" w:rsidRDefault="00E53219" w:rsidP="00E53219">
      <w:pPr>
        <w:rPr>
          <w:b/>
        </w:rPr>
      </w:pPr>
      <w:bookmarkStart w:id="7" w:name="OLE_LINK11"/>
      <w:bookmarkStart w:id="8" w:name="OLE_LINK18"/>
      <w:bookmarkEnd w:id="4"/>
      <w:r w:rsidRPr="004B6B28">
        <w:rPr>
          <w:b/>
        </w:rPr>
        <w:t>Ich bin davon überzeugt:</w:t>
      </w:r>
      <w:r w:rsidRPr="004B6B28">
        <w:rPr>
          <w:rFonts w:ascii="Myriad Pro" w:eastAsiaTheme="majorEastAsia" w:hAnsi="Myriad Pro" w:cs="Myriad Pro"/>
          <w:b/>
          <w:color w:val="000000" w:themeColor="text1"/>
          <w:kern w:val="24"/>
          <w:sz w:val="56"/>
          <w:szCs w:val="56"/>
        </w:rPr>
        <w:t xml:space="preserve"> </w:t>
      </w:r>
      <w:r w:rsidRPr="004B6B28">
        <w:rPr>
          <w:b/>
        </w:rPr>
        <w:t xml:space="preserve">Eine Vitalisierung der Evangelischen Kirche kann nur als </w:t>
      </w:r>
      <w:r w:rsidRPr="004B6B28">
        <w:rPr>
          <w:b/>
          <w:iCs/>
        </w:rPr>
        <w:t>geistliche</w:t>
      </w:r>
      <w:r w:rsidRPr="004B6B28">
        <w:rPr>
          <w:b/>
        </w:rPr>
        <w:t xml:space="preserve"> Erne</w:t>
      </w:r>
      <w:r w:rsidRPr="004B6B28">
        <w:rPr>
          <w:b/>
        </w:rPr>
        <w:t>u</w:t>
      </w:r>
      <w:r w:rsidRPr="004B6B28">
        <w:rPr>
          <w:b/>
        </w:rPr>
        <w:t>erung ihrer Gemeinden und das heißt als geistliche Erneuerung der Menschen und Gemeinschaften beginnen und gelingen</w:t>
      </w:r>
      <w:bookmarkEnd w:id="7"/>
      <w:bookmarkEnd w:id="8"/>
      <w:r w:rsidRPr="004B6B28">
        <w:rPr>
          <w:b/>
        </w:rPr>
        <w:t xml:space="preserve">. </w:t>
      </w:r>
      <w:r>
        <w:t xml:space="preserve">Strategien und Strukturen </w:t>
      </w:r>
      <w:r w:rsidR="004B6B28">
        <w:t xml:space="preserve">führen </w:t>
      </w:r>
      <w:r>
        <w:t xml:space="preserve">ohne eine geistliche Neuausrichtung nicht zu einer tiefgreifenden Erneuerung der Gemeinden. </w:t>
      </w:r>
    </w:p>
    <w:p w14:paraId="03A635AE" w14:textId="415312DB" w:rsidR="00E53219" w:rsidRDefault="00E53219" w:rsidP="00E53219">
      <w:r>
        <w:t>Christsein ohne eine wie auch immer gestaltete verbindliche und regelmäßige Anteilnahme an der Gemeinschaft der Glaubenden, also an Wort und Sakrament, ist ein Selbstwiderspruch, wenn G</w:t>
      </w:r>
      <w:r>
        <w:t>e</w:t>
      </w:r>
      <w:r>
        <w:t>meinde verstanden werden kann als „personale Gemeinschaft mit Jesus und mit Schwe</w:t>
      </w:r>
      <w:r>
        <w:t>s</w:t>
      </w:r>
      <w:r>
        <w:t>tern und Brüdern, deren Glaube in der Liebe tätig wird“.</w:t>
      </w:r>
      <w:r>
        <w:rPr>
          <w:rStyle w:val="Funotenzeichen"/>
        </w:rPr>
        <w:footnoteReference w:id="2"/>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2235"/>
        <w:gridCol w:w="7053"/>
      </w:tblGrid>
      <w:tr w:rsidR="004B6B28" w14:paraId="6B7AC667" w14:textId="77777777" w:rsidTr="004B6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C0C0C0" w:fill="auto"/>
          </w:tcPr>
          <w:p w14:paraId="125B743E" w14:textId="77777777" w:rsidR="004B6B28" w:rsidRDefault="004B6B28" w:rsidP="004B6B28">
            <w:pPr>
              <w:rPr>
                <w:b w:val="0"/>
                <w:sz w:val="22"/>
                <w:szCs w:val="22"/>
              </w:rPr>
            </w:pPr>
          </w:p>
          <w:p w14:paraId="0D542A24" w14:textId="70E167E3" w:rsidR="004B6B28" w:rsidRPr="004B6B28" w:rsidRDefault="004B6B28" w:rsidP="004B6B28">
            <w:pPr>
              <w:rPr>
                <w:b w:val="0"/>
                <w:sz w:val="22"/>
                <w:szCs w:val="22"/>
              </w:rPr>
            </w:pPr>
            <w:r w:rsidRPr="004B6B28">
              <w:rPr>
                <w:b w:val="0"/>
                <w:sz w:val="22"/>
                <w:szCs w:val="22"/>
              </w:rPr>
              <w:t>Bei „geistlicher E</w:t>
            </w:r>
            <w:r w:rsidRPr="004B6B28">
              <w:rPr>
                <w:b w:val="0"/>
                <w:sz w:val="22"/>
                <w:szCs w:val="22"/>
              </w:rPr>
              <w:t>r</w:t>
            </w:r>
            <w:r w:rsidRPr="004B6B28">
              <w:rPr>
                <w:b w:val="0"/>
                <w:sz w:val="22"/>
                <w:szCs w:val="22"/>
              </w:rPr>
              <w:t>neuerung“ geht es um die Ausrichtung des ganzen Lebens auf den gekre</w:t>
            </w:r>
            <w:r w:rsidRPr="004B6B28">
              <w:rPr>
                <w:b w:val="0"/>
                <w:sz w:val="22"/>
                <w:szCs w:val="22"/>
              </w:rPr>
              <w:t>u</w:t>
            </w:r>
            <w:r w:rsidRPr="004B6B28">
              <w:rPr>
                <w:b w:val="0"/>
                <w:sz w:val="22"/>
                <w:szCs w:val="22"/>
              </w:rPr>
              <w:t>zigten und auferstand</w:t>
            </w:r>
            <w:r w:rsidRPr="004B6B28">
              <w:rPr>
                <w:b w:val="0"/>
                <w:sz w:val="22"/>
                <w:szCs w:val="22"/>
              </w:rPr>
              <w:t>e</w:t>
            </w:r>
            <w:r w:rsidRPr="004B6B28">
              <w:rPr>
                <w:b w:val="0"/>
                <w:sz w:val="22"/>
                <w:szCs w:val="22"/>
              </w:rPr>
              <w:t>nen Jesus Chri</w:t>
            </w:r>
            <w:r w:rsidRPr="004B6B28">
              <w:rPr>
                <w:b w:val="0"/>
                <w:sz w:val="22"/>
                <w:szCs w:val="22"/>
              </w:rPr>
              <w:t>s</w:t>
            </w:r>
            <w:r w:rsidRPr="004B6B28">
              <w:rPr>
                <w:b w:val="0"/>
                <w:sz w:val="22"/>
                <w:szCs w:val="22"/>
              </w:rPr>
              <w:t>tus.</w:t>
            </w:r>
          </w:p>
          <w:p w14:paraId="2DBF9D9F" w14:textId="77777777" w:rsidR="004B6B28" w:rsidRDefault="004B6B28" w:rsidP="00E53219"/>
        </w:tc>
        <w:tc>
          <w:tcPr>
            <w:tcW w:w="7053" w:type="dxa"/>
            <w:shd w:val="clear" w:color="C0C0C0" w:fill="auto"/>
          </w:tcPr>
          <w:p w14:paraId="2B0EA272" w14:textId="4E1B97D0" w:rsidR="004B6B28" w:rsidRDefault="004B6B28" w:rsidP="00E53219">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4C0D0A2A" wp14:editId="78541E4E">
                  <wp:extent cx="4104904" cy="3078791"/>
                  <wp:effectExtent l="0" t="0" r="1016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005" cy="3078866"/>
                          </a:xfrm>
                          <a:prstGeom prst="rect">
                            <a:avLst/>
                          </a:prstGeom>
                          <a:noFill/>
                          <a:ln>
                            <a:noFill/>
                          </a:ln>
                        </pic:spPr>
                      </pic:pic>
                    </a:graphicData>
                  </a:graphic>
                </wp:inline>
              </w:drawing>
            </w:r>
            <w:r w:rsidRPr="004B6B28">
              <w:rPr>
                <w:rStyle w:val="Funotenzeichen"/>
                <w:b w:val="0"/>
                <w:sz w:val="22"/>
                <w:szCs w:val="22"/>
              </w:rPr>
              <w:footnoteReference w:id="3"/>
            </w:r>
          </w:p>
        </w:tc>
      </w:tr>
    </w:tbl>
    <w:p w14:paraId="57E5953D" w14:textId="72FC2034" w:rsidR="00E53219" w:rsidRPr="006026DB" w:rsidRDefault="00065D8B" w:rsidP="00E53219">
      <w:r w:rsidRPr="006026DB">
        <w:t xml:space="preserve">Dabei geht seit </w:t>
      </w:r>
      <w:r w:rsidR="00E53219" w:rsidRPr="006026DB">
        <w:t>jeher quer durch alle Konzeptionen des Gemeindeaufbaus eine grundsätzliche, geis</w:t>
      </w:r>
      <w:r w:rsidR="00E53219" w:rsidRPr="006026DB">
        <w:t>t</w:t>
      </w:r>
      <w:r w:rsidR="00E53219" w:rsidRPr="006026DB">
        <w:t>liche Gefährdung: Wir könnten mitten in der Krise der Kirche selbst als Kirche gottlos werden.</w:t>
      </w:r>
      <w:r w:rsidR="006026DB" w:rsidRPr="006026DB">
        <w:t xml:space="preserve"> „Etsi Deus non daretur“ würden wir je nach </w:t>
      </w:r>
      <w:r w:rsidR="00E53219" w:rsidRPr="006026DB">
        <w:t>Lage und Mentalität hektisch betriebsam oder resigniert pa</w:t>
      </w:r>
      <w:r w:rsidR="00E53219" w:rsidRPr="006026DB">
        <w:t>s</w:t>
      </w:r>
      <w:r w:rsidR="00E53219" w:rsidRPr="006026DB">
        <w:t>siv auf die Gegebenheiten reagieren, aber uns nicht von Gottes Geist inspirieren lassen, der das Ve</w:t>
      </w:r>
      <w:r w:rsidR="00E53219" w:rsidRPr="006026DB">
        <w:t>r</w:t>
      </w:r>
      <w:r w:rsidR="00E53219" w:rsidRPr="006026DB">
        <w:t>trauen zu Gott stärkt und nüchterne Schritte tun lehrt. Wir vergäßen „Gott in der Krise“</w:t>
      </w:r>
      <w:r w:rsidR="00E53219" w:rsidRPr="006026DB">
        <w:rPr>
          <w:rStyle w:val="Funotenzeichen"/>
        </w:rPr>
        <w:footnoteReference w:id="4"/>
      </w:r>
      <w:r w:rsidR="00E53219" w:rsidRPr="006026DB">
        <w:t xml:space="preserve"> und rechn</w:t>
      </w:r>
      <w:r w:rsidR="00E53219" w:rsidRPr="006026DB">
        <w:t>e</w:t>
      </w:r>
      <w:r w:rsidR="00E53219" w:rsidRPr="006026DB">
        <w:t>ten nicht mehr mit seinen Mö</w:t>
      </w:r>
      <w:r w:rsidR="00E53219" w:rsidRPr="006026DB">
        <w:t>g</w:t>
      </w:r>
      <w:r w:rsidR="00E53219" w:rsidRPr="006026DB">
        <w:t xml:space="preserve">lichkeiten, die Krise zum Wendepunkt zu machen. </w:t>
      </w:r>
    </w:p>
    <w:p w14:paraId="623ABD98" w14:textId="093B66D6" w:rsidR="00E53219" w:rsidRDefault="00597AB6" w:rsidP="00E53219">
      <w:r>
        <w:t xml:space="preserve">Zugleich ist die </w:t>
      </w:r>
      <w:r w:rsidR="00E53219" w:rsidRPr="00CD4158">
        <w:t>Zusage Gottes kein sanftes Ruhekissen für die, die hoffen,</w:t>
      </w:r>
      <w:r w:rsidR="00E53219">
        <w:t xml:space="preserve"> dass es doch noch i</w:t>
      </w:r>
      <w:r w:rsidR="00E53219">
        <w:t>m</w:t>
      </w:r>
      <w:r w:rsidR="00E53219">
        <w:t>mer gut g</w:t>
      </w:r>
      <w:r w:rsidR="00E53219">
        <w:t>e</w:t>
      </w:r>
      <w:r w:rsidR="00E53219">
        <w:t xml:space="preserve">gangen sei. Von der Sorge um uns selbst befreit, sind wir vielmehr umso ernster gerufen, dem zu entsprechen, was der Herr der Kirche will, was er ins Leben ruft und am Leben erhalten will. Wir werden also umso  mehr nach seinen Verheißungen und Willensbekundungen fragen. </w:t>
      </w:r>
    </w:p>
    <w:p w14:paraId="4C17913D" w14:textId="12111504" w:rsidR="00E53219" w:rsidRDefault="00E53219" w:rsidP="00E53219">
      <w:pPr>
        <w:pStyle w:val="berschrift2"/>
      </w:pPr>
      <w:bookmarkStart w:id="9" w:name="_Toc136740515"/>
      <w:bookmarkStart w:id="10" w:name="_Toc220240177"/>
      <w:bookmarkStart w:id="11" w:name="OLE_LINK37"/>
      <w:bookmarkStart w:id="12" w:name="OLE_LINK38"/>
      <w:r>
        <w:t>12.3 Geistliche Leitung als Dienst - ein Rollenbild für den Pfarrberuf</w:t>
      </w:r>
      <w:bookmarkEnd w:id="9"/>
      <w:bookmarkEnd w:id="10"/>
      <w:r w:rsidR="0020257A">
        <w:rPr>
          <w:rStyle w:val="Funotenzeichen"/>
        </w:rPr>
        <w:footnoteReference w:id="5"/>
      </w:r>
    </w:p>
    <w:p w14:paraId="0B03BCE3" w14:textId="77777777" w:rsidR="00E53219" w:rsidRDefault="00E53219" w:rsidP="00E53219">
      <w:pPr>
        <w:pStyle w:val="berschrift3"/>
      </w:pPr>
      <w:bookmarkStart w:id="13" w:name="_Toc159417509"/>
      <w:bookmarkStart w:id="14" w:name="_Toc220240178"/>
      <w:bookmarkStart w:id="15" w:name="OLE_LINK39"/>
      <w:bookmarkStart w:id="16" w:name="OLE_LINK40"/>
      <w:bookmarkEnd w:id="11"/>
      <w:bookmarkEnd w:id="12"/>
      <w:r>
        <w:t>12.3.1 Geistliche Leitung führt zu geistlichem Leben</w:t>
      </w:r>
      <w:bookmarkEnd w:id="13"/>
      <w:bookmarkEnd w:id="14"/>
    </w:p>
    <w:p w14:paraId="5109E163" w14:textId="58F133BC" w:rsidR="00415165" w:rsidRPr="00415165" w:rsidRDefault="00415165" w:rsidP="00415165">
      <w:pPr>
        <w:jc w:val="center"/>
      </w:pPr>
      <w:r w:rsidRPr="00415165">
        <w:drawing>
          <wp:inline distT="0" distB="0" distL="0" distR="0" wp14:anchorId="76476215" wp14:editId="40564A0E">
            <wp:extent cx="3696267" cy="2770757"/>
            <wp:effectExtent l="0" t="0" r="1270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6860" cy="2771202"/>
                    </a:xfrm>
                    <a:prstGeom prst="rect">
                      <a:avLst/>
                    </a:prstGeom>
                    <a:noFill/>
                    <a:ln>
                      <a:noFill/>
                    </a:ln>
                  </pic:spPr>
                </pic:pic>
              </a:graphicData>
            </a:graphic>
          </wp:inline>
        </w:drawing>
      </w:r>
    </w:p>
    <w:p w14:paraId="697B40B0" w14:textId="77777777" w:rsidR="00E53219" w:rsidRDefault="00E53219" w:rsidP="00E53219">
      <w:pPr>
        <w:pStyle w:val="berschrift3"/>
      </w:pPr>
      <w:bookmarkStart w:id="17" w:name="_Toc159417510"/>
      <w:bookmarkStart w:id="18" w:name="_Toc220240179"/>
      <w:bookmarkEnd w:id="15"/>
      <w:bookmarkEnd w:id="16"/>
      <w:r>
        <w:t>12.3.2 Geistliche Leitung ist geistliche „Selbstleitung“ und Anleitung zur geistlichen „Selbs</w:t>
      </w:r>
      <w:r>
        <w:t>t</w:t>
      </w:r>
      <w:r>
        <w:t>leitung“</w:t>
      </w:r>
      <w:bookmarkEnd w:id="17"/>
      <w:bookmarkEnd w:id="18"/>
    </w:p>
    <w:p w14:paraId="3F594807" w14:textId="3EEACB12" w:rsidR="000E350E" w:rsidRPr="000E350E" w:rsidRDefault="000E350E" w:rsidP="000E350E">
      <w:pPr>
        <w:jc w:val="center"/>
      </w:pPr>
      <w:r w:rsidRPr="000E350E">
        <w:drawing>
          <wp:inline distT="0" distB="0" distL="0" distR="0" wp14:anchorId="320AD962" wp14:editId="6293B48B">
            <wp:extent cx="3652999" cy="2738323"/>
            <wp:effectExtent l="0" t="0" r="5080" b="5080"/>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245" cy="2738508"/>
                    </a:xfrm>
                    <a:prstGeom prst="rect">
                      <a:avLst/>
                    </a:prstGeom>
                    <a:noFill/>
                    <a:ln>
                      <a:noFill/>
                    </a:ln>
                  </pic:spPr>
                </pic:pic>
              </a:graphicData>
            </a:graphic>
          </wp:inline>
        </w:drawing>
      </w:r>
      <w:r>
        <w:rPr>
          <w:rStyle w:val="Funotenzeichen"/>
          <w:rFonts w:cs="MinionPro-Regular"/>
          <w:szCs w:val="20"/>
        </w:rPr>
        <w:footnoteReference w:id="6"/>
      </w:r>
    </w:p>
    <w:p w14:paraId="5EA88DA4" w14:textId="77777777" w:rsidR="00E53219" w:rsidRDefault="00E53219" w:rsidP="00E53219">
      <w:pPr>
        <w:pStyle w:val="berschrift3"/>
      </w:pPr>
      <w:bookmarkStart w:id="19" w:name="_Toc159417511"/>
      <w:bookmarkStart w:id="20" w:name="_Toc220240180"/>
      <w:r>
        <w:t>12.3.3 Geistliche Leitung als Dienst fördert andere und lässt sie wachsen</w:t>
      </w:r>
      <w:bookmarkEnd w:id="19"/>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920"/>
        <w:gridCol w:w="3368"/>
      </w:tblGrid>
      <w:tr w:rsidR="00450E80" w14:paraId="406EE211" w14:textId="77777777" w:rsidTr="00450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shd w:val="clear" w:color="C0C0C0" w:fill="auto"/>
          </w:tcPr>
          <w:p w14:paraId="362E8524" w14:textId="3C73B3A7" w:rsidR="00450E80" w:rsidRDefault="00450E80" w:rsidP="00450E80">
            <w:r w:rsidRPr="00450E80">
              <w:drawing>
                <wp:inline distT="0" distB="0" distL="0" distR="0" wp14:anchorId="2E6ED477" wp14:editId="6CD9ABB9">
                  <wp:extent cx="3488478" cy="2616359"/>
                  <wp:effectExtent l="0" t="0" r="0"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9072" cy="2616805"/>
                          </a:xfrm>
                          <a:prstGeom prst="rect">
                            <a:avLst/>
                          </a:prstGeom>
                          <a:noFill/>
                          <a:ln>
                            <a:noFill/>
                          </a:ln>
                        </pic:spPr>
                      </pic:pic>
                    </a:graphicData>
                  </a:graphic>
                </wp:inline>
              </w:drawing>
            </w:r>
            <w:r w:rsidRPr="00450E80">
              <w:rPr>
                <w:rStyle w:val="Funotenzeichen"/>
                <w:rFonts w:cs="MinionPro-Regular"/>
                <w:b w:val="0"/>
                <w:sz w:val="22"/>
                <w:szCs w:val="22"/>
              </w:rPr>
              <w:footnoteReference w:id="7"/>
            </w:r>
          </w:p>
        </w:tc>
        <w:tc>
          <w:tcPr>
            <w:tcW w:w="3368" w:type="dxa"/>
            <w:shd w:val="clear" w:color="C0C0C0" w:fill="auto"/>
          </w:tcPr>
          <w:p w14:paraId="31B679E4" w14:textId="78E36F87" w:rsidR="00450E80" w:rsidRPr="00450E80" w:rsidRDefault="00450E80" w:rsidP="00450E80">
            <w:pPr>
              <w:cnfStyle w:val="100000000000" w:firstRow="1" w:lastRow="0" w:firstColumn="0" w:lastColumn="0" w:oddVBand="0" w:evenVBand="0" w:oddHBand="0" w:evenHBand="0" w:firstRowFirstColumn="0" w:firstRowLastColumn="0" w:lastRowFirstColumn="0" w:lastRowLastColumn="0"/>
              <w:rPr>
                <w:b w:val="0"/>
                <w:sz w:val="22"/>
                <w:szCs w:val="22"/>
              </w:rPr>
            </w:pPr>
            <w:r w:rsidRPr="00450E80">
              <w:rPr>
                <w:b w:val="0"/>
                <w:sz w:val="22"/>
                <w:szCs w:val="22"/>
              </w:rPr>
              <w:t>„Ihr wisst, die als Herrscher gelten, halten ihre Vö</w:t>
            </w:r>
            <w:r w:rsidRPr="00450E80">
              <w:rPr>
                <w:b w:val="0"/>
                <w:sz w:val="22"/>
                <w:szCs w:val="22"/>
              </w:rPr>
              <w:t>l</w:t>
            </w:r>
            <w:r w:rsidRPr="00450E80">
              <w:rPr>
                <w:b w:val="0"/>
                <w:sz w:val="22"/>
                <w:szCs w:val="22"/>
              </w:rPr>
              <w:t>ker nieder und ihre Mächtigen tun ihnen Gewalt an. Aber so ist es unter euch nicht; so</w:t>
            </w:r>
            <w:r w:rsidRPr="00450E80">
              <w:rPr>
                <w:b w:val="0"/>
                <w:sz w:val="22"/>
                <w:szCs w:val="22"/>
              </w:rPr>
              <w:t>n</w:t>
            </w:r>
            <w:r w:rsidRPr="00450E80">
              <w:rPr>
                <w:b w:val="0"/>
                <w:sz w:val="22"/>
                <w:szCs w:val="22"/>
              </w:rPr>
              <w:t>dern wer groß sein will unter euch, der soll euer Diener sein; und wer unter euch der erste sein will, der soll aller Knecht sein. Denn auch der Me</w:t>
            </w:r>
            <w:r w:rsidRPr="00450E80">
              <w:rPr>
                <w:b w:val="0"/>
                <w:sz w:val="22"/>
                <w:szCs w:val="22"/>
              </w:rPr>
              <w:t>n</w:t>
            </w:r>
            <w:r w:rsidRPr="00450E80">
              <w:rPr>
                <w:b w:val="0"/>
                <w:sz w:val="22"/>
                <w:szCs w:val="22"/>
              </w:rPr>
              <w:t>schensohn ist nicht gekommen, dass er sich di</w:t>
            </w:r>
            <w:r w:rsidRPr="00450E80">
              <w:rPr>
                <w:b w:val="0"/>
                <w:sz w:val="22"/>
                <w:szCs w:val="22"/>
              </w:rPr>
              <w:t>e</w:t>
            </w:r>
            <w:r w:rsidRPr="00450E80">
              <w:rPr>
                <w:b w:val="0"/>
                <w:sz w:val="22"/>
                <w:szCs w:val="22"/>
              </w:rPr>
              <w:t>nen lasse, sondern dass er diene und sein Leben gebe als Lös</w:t>
            </w:r>
            <w:r w:rsidRPr="00450E80">
              <w:rPr>
                <w:b w:val="0"/>
                <w:sz w:val="22"/>
                <w:szCs w:val="22"/>
              </w:rPr>
              <w:t>e</w:t>
            </w:r>
            <w:r w:rsidRPr="00450E80">
              <w:rPr>
                <w:b w:val="0"/>
                <w:sz w:val="22"/>
                <w:szCs w:val="22"/>
              </w:rPr>
              <w:t>geld für viele“ (Mk 10,42-45).</w:t>
            </w:r>
          </w:p>
        </w:tc>
      </w:tr>
    </w:tbl>
    <w:p w14:paraId="0A377AF9" w14:textId="7CFFDE2F" w:rsidR="00E53219" w:rsidRPr="00CE5C8C" w:rsidRDefault="00E53219" w:rsidP="00CE5C8C">
      <w:pPr>
        <w:ind w:left="284"/>
        <w:rPr>
          <w:i/>
        </w:rPr>
      </w:pPr>
      <w:r w:rsidRPr="00CE5C8C">
        <w:rPr>
          <w:i/>
        </w:rPr>
        <w:t>„Die dienende Führungskraft ist zuerst ein Diener. Es beginnt alles bei ihm mit dem natürlichen Empfinden, dienen zu wollen, zuerst zu dienen. Dann führt ihn bewusste Wahl zu der Entsche</w:t>
      </w:r>
      <w:r w:rsidRPr="00CE5C8C">
        <w:rPr>
          <w:i/>
        </w:rPr>
        <w:t>i</w:t>
      </w:r>
      <w:r w:rsidRPr="00CE5C8C">
        <w:rPr>
          <w:i/>
        </w:rPr>
        <w:t>dung, auch nach Führung zu streben. Diese Person ist scharf zu unterscheiden von dem, der zuerst ein Leiter ist ... vielleicht weil er einen Machttrieb befriedigen muss oder materiellen Reichtum a</w:t>
      </w:r>
      <w:r w:rsidRPr="00CE5C8C">
        <w:rPr>
          <w:i/>
        </w:rPr>
        <w:t>n</w:t>
      </w:r>
      <w:r w:rsidRPr="00CE5C8C">
        <w:rPr>
          <w:i/>
        </w:rPr>
        <w:t>häufen will. Diese beiden, also der, der zuerst ein Leiter ist, und der, der zuerst ein Diener ist, sind extreme Typen. Dazwischen gibt es viele Abschattungen und Mischungen – sie sind Teil der unen</w:t>
      </w:r>
      <w:r w:rsidRPr="00CE5C8C">
        <w:rPr>
          <w:i/>
        </w:rPr>
        <w:t>d</w:t>
      </w:r>
      <w:r w:rsidRPr="00CE5C8C">
        <w:rPr>
          <w:i/>
        </w:rPr>
        <w:t>lichen Vielfalt der menschlichen Natur.“</w:t>
      </w:r>
      <w:r w:rsidR="00CE5C8C" w:rsidRPr="00CE5C8C">
        <w:rPr>
          <w:rStyle w:val="Funotenzeichen"/>
          <w:i/>
        </w:rPr>
        <w:t xml:space="preserve">  (</w:t>
      </w:r>
      <w:r w:rsidR="00CE5C8C" w:rsidRPr="00CE5C8C">
        <w:rPr>
          <w:rStyle w:val="Funotenzeichen"/>
          <w:i/>
          <w:vertAlign w:val="baseline"/>
        </w:rPr>
        <w:t>Robert K. Geenleaf</w:t>
      </w:r>
      <w:r w:rsidR="00CE5C8C" w:rsidRPr="00CE5C8C">
        <w:rPr>
          <w:rStyle w:val="Funotenzeichen"/>
          <w:i/>
        </w:rPr>
        <w:footnoteReference w:id="8"/>
      </w:r>
      <w:r w:rsidR="00CE5C8C" w:rsidRPr="00CE5C8C">
        <w:rPr>
          <w:rStyle w:val="Funotenzeichen"/>
          <w:i/>
        </w:rPr>
        <w:t>)</w:t>
      </w:r>
    </w:p>
    <w:p w14:paraId="290D3A75" w14:textId="18A80E12" w:rsidR="00E53219" w:rsidRDefault="00E53219" w:rsidP="00E53219">
      <w:bookmarkStart w:id="21" w:name="OLE_LINK43"/>
      <w:bookmarkStart w:id="22" w:name="OLE_LINK44"/>
      <w:r>
        <w:t>Es geht um einen Wandel „</w:t>
      </w:r>
      <w:r w:rsidRPr="003A79C2">
        <w:t>from people-using to people-building</w:t>
      </w:r>
      <w:r>
        <w:t>.</w:t>
      </w:r>
      <w:r w:rsidRPr="003A79C2">
        <w:t>“</w:t>
      </w:r>
      <w:r>
        <w:rPr>
          <w:rStyle w:val="Funotenzeichen"/>
        </w:rPr>
        <w:footnoteReference w:id="9"/>
      </w:r>
      <w:r>
        <w:t xml:space="preserve"> </w:t>
      </w:r>
      <w:bookmarkEnd w:id="21"/>
      <w:bookmarkEnd w:id="22"/>
      <w:r>
        <w:rPr>
          <w:rFonts w:cs="MinionPro-Regular"/>
          <w:szCs w:val="20"/>
        </w:rPr>
        <w:t>Geistliche Leitung i</w:t>
      </w:r>
      <w:r>
        <w:t>st Dienst („se</w:t>
      </w:r>
      <w:r>
        <w:t>r</w:t>
      </w:r>
      <w:r>
        <w:t>vant le</w:t>
      </w:r>
      <w:r>
        <w:t>a</w:t>
      </w:r>
      <w:r>
        <w:t>dership“), der andere Menschen dabei unterstützt, ihre Gaben zu entdecken, zu entwickeln und ei</w:t>
      </w:r>
      <w:r>
        <w:t>n</w:t>
      </w:r>
      <w:r>
        <w:t>zusetzen, so dass sie sich gesund und stark entwickeln können.</w:t>
      </w:r>
    </w:p>
    <w:p w14:paraId="3A675FBF" w14:textId="417D506A" w:rsidR="00EF114F" w:rsidRDefault="00EF114F" w:rsidP="00EF114F">
      <w:pPr>
        <w:jc w:val="center"/>
      </w:pPr>
      <w:r w:rsidRPr="00EF114F">
        <w:drawing>
          <wp:inline distT="0" distB="0" distL="0" distR="0" wp14:anchorId="261451E1" wp14:editId="7E06EF9B">
            <wp:extent cx="2808606" cy="2106454"/>
            <wp:effectExtent l="0" t="0" r="10795" b="1905"/>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378" cy="2107033"/>
                    </a:xfrm>
                    <a:prstGeom prst="rect">
                      <a:avLst/>
                    </a:prstGeom>
                    <a:noFill/>
                    <a:ln>
                      <a:noFill/>
                    </a:ln>
                  </pic:spPr>
                </pic:pic>
              </a:graphicData>
            </a:graphic>
          </wp:inline>
        </w:drawing>
      </w:r>
      <w:r>
        <w:rPr>
          <w:rStyle w:val="Funotenzeichen"/>
          <w:rFonts w:cs="MinionPro-Regular"/>
          <w:szCs w:val="20"/>
        </w:rPr>
        <w:footnoteReference w:id="10"/>
      </w:r>
    </w:p>
    <w:p w14:paraId="7B005F7B" w14:textId="77777777" w:rsidR="00EF114F" w:rsidRDefault="00E53219" w:rsidP="00E53219">
      <w:pPr>
        <w:rPr>
          <w:rFonts w:cs="MinionPro-Regular"/>
          <w:szCs w:val="20"/>
        </w:rPr>
      </w:pPr>
      <w:r>
        <w:rPr>
          <w:rFonts w:cs="MinionPro-Regular"/>
          <w:szCs w:val="20"/>
        </w:rPr>
        <w:t xml:space="preserve">Geistliche Leitung lebt von der täglichen Umkehr. </w:t>
      </w:r>
      <w:r w:rsidR="00EF114F">
        <w:rPr>
          <w:rFonts w:cs="MinionPro-Regular"/>
          <w:szCs w:val="20"/>
        </w:rPr>
        <w:t>Dabei können folgende Fragen helfen</w:t>
      </w:r>
      <w:r>
        <w:rPr>
          <w:rFonts w:cs="MinionPro-Regular"/>
          <w:szCs w:val="20"/>
        </w:rPr>
        <w:t>:</w:t>
      </w:r>
      <w:r>
        <w:rPr>
          <w:rStyle w:val="Funotenzeichen"/>
          <w:rFonts w:cs="MinionPro-Regular"/>
          <w:szCs w:val="20"/>
        </w:rPr>
        <w:footnoteReference w:id="11"/>
      </w:r>
      <w:r>
        <w:rPr>
          <w:rFonts w:cs="MinionPro-Regular"/>
          <w:szCs w:val="20"/>
        </w:rPr>
        <w:t xml:space="preserve"> Wie sieht es mit me</w:t>
      </w:r>
      <w:r>
        <w:rPr>
          <w:rFonts w:cs="MinionPro-Regular"/>
          <w:szCs w:val="20"/>
        </w:rPr>
        <w:t>i</w:t>
      </w:r>
      <w:r>
        <w:rPr>
          <w:rFonts w:cs="MinionPro-Regular"/>
          <w:szCs w:val="20"/>
        </w:rPr>
        <w:t>nem Stolz aus? Liebe ich die anderen über die lange Strecke mehr oder weniger? Lasse ich mich von Furcht vor A</w:t>
      </w:r>
      <w:r>
        <w:rPr>
          <w:rFonts w:cs="MinionPro-Regular"/>
          <w:szCs w:val="20"/>
        </w:rPr>
        <w:t>b</w:t>
      </w:r>
      <w:r>
        <w:rPr>
          <w:rFonts w:cs="MinionPro-Regular"/>
          <w:szCs w:val="20"/>
        </w:rPr>
        <w:t>lehnung oder von der Gier nach Anerkennung leiten? Bin ich also arrogant und distanziert oder gehöre ich zu den „people pleasers“</w:t>
      </w:r>
      <w:r>
        <w:rPr>
          <w:rStyle w:val="Funotenzeichen"/>
          <w:rFonts w:cs="MinionPro-Regular"/>
          <w:szCs w:val="20"/>
        </w:rPr>
        <w:footnoteReference w:id="12"/>
      </w:r>
      <w:r>
        <w:rPr>
          <w:rFonts w:cs="MinionPro-Regular"/>
          <w:szCs w:val="20"/>
        </w:rPr>
        <w:t xml:space="preserve">? Ist mein Lebenstempo verträglich für einen nachhaltigen Dienst? Bin ich abweisend, weil ich eigentlich nicht mehr kann? </w:t>
      </w:r>
    </w:p>
    <w:p w14:paraId="126BC363" w14:textId="77777777" w:rsidR="00E53219" w:rsidRDefault="00E53219" w:rsidP="00E53219">
      <w:pPr>
        <w:pStyle w:val="berschrift3"/>
      </w:pPr>
      <w:bookmarkStart w:id="23" w:name="_Toc220240181"/>
      <w:r>
        <w:t>12.3.4 Geistliche Leitung führt zu einem bescheideneren und gemeindeaufbauförderlichen Pfar</w:t>
      </w:r>
      <w:r>
        <w:t>r</w:t>
      </w:r>
      <w:r>
        <w:t>bild</w:t>
      </w:r>
      <w:bookmarkEnd w:id="2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176"/>
        <w:gridCol w:w="4112"/>
      </w:tblGrid>
      <w:tr w:rsidR="00E96E15" w:rsidRPr="00E96E15" w14:paraId="37845117" w14:textId="77777777" w:rsidTr="00E96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06B7A340" w14:textId="77425286" w:rsidR="00E96E15" w:rsidRPr="00E96E15" w:rsidRDefault="00E96E15" w:rsidP="00E96E15">
            <w:pPr>
              <w:rPr>
                <w:b w:val="0"/>
              </w:rPr>
            </w:pPr>
            <w:r w:rsidRPr="00E96E15">
              <w:drawing>
                <wp:inline distT="0" distB="0" distL="0" distR="0" wp14:anchorId="4664CC60" wp14:editId="240155B8">
                  <wp:extent cx="3145578" cy="2359184"/>
                  <wp:effectExtent l="0" t="0" r="4445" b="3175"/>
                  <wp:docPr id="2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803" cy="2359353"/>
                          </a:xfrm>
                          <a:prstGeom prst="rect">
                            <a:avLst/>
                          </a:prstGeom>
                          <a:noFill/>
                          <a:ln>
                            <a:noFill/>
                          </a:ln>
                        </pic:spPr>
                      </pic:pic>
                    </a:graphicData>
                  </a:graphic>
                </wp:inline>
              </w:drawing>
            </w:r>
          </w:p>
        </w:tc>
        <w:tc>
          <w:tcPr>
            <w:tcW w:w="4606" w:type="dxa"/>
            <w:shd w:val="clear" w:color="C0C0C0" w:fill="auto"/>
          </w:tcPr>
          <w:p w14:paraId="62423B53" w14:textId="77777777" w:rsidR="00E96E15" w:rsidRDefault="00E96E15" w:rsidP="00E96E15">
            <w:pPr>
              <w:cnfStyle w:val="100000000000" w:firstRow="1" w:lastRow="0" w:firstColumn="0" w:lastColumn="0" w:oddVBand="0" w:evenVBand="0" w:oddHBand="0" w:evenHBand="0" w:firstRowFirstColumn="0" w:firstRowLastColumn="0" w:lastRowFirstColumn="0" w:lastRowLastColumn="0"/>
              <w:rPr>
                <w:b w:val="0"/>
                <w:i/>
                <w:sz w:val="22"/>
                <w:szCs w:val="22"/>
              </w:rPr>
            </w:pPr>
          </w:p>
          <w:p w14:paraId="4DFE8014" w14:textId="4D46B8E1" w:rsidR="00E96E15" w:rsidRPr="00E96E15" w:rsidRDefault="00E96E15" w:rsidP="005E56AF">
            <w:pPr>
              <w:cnfStyle w:val="100000000000" w:firstRow="1" w:lastRow="0" w:firstColumn="0" w:lastColumn="0" w:oddVBand="0" w:evenVBand="0" w:oddHBand="0" w:evenHBand="0" w:firstRowFirstColumn="0" w:firstRowLastColumn="0" w:lastRowFirstColumn="0" w:lastRowLastColumn="0"/>
              <w:rPr>
                <w:b w:val="0"/>
                <w:i/>
                <w:sz w:val="22"/>
                <w:szCs w:val="22"/>
              </w:rPr>
            </w:pPr>
            <w:r w:rsidRPr="00E96E15">
              <w:rPr>
                <w:b w:val="0"/>
                <w:i/>
                <w:sz w:val="22"/>
                <w:szCs w:val="22"/>
              </w:rPr>
              <w:t>„Alle diese Fähigkeiten in der eigenen Pe</w:t>
            </w:r>
            <w:r w:rsidRPr="00E96E15">
              <w:rPr>
                <w:b w:val="0"/>
                <w:i/>
                <w:sz w:val="22"/>
                <w:szCs w:val="22"/>
              </w:rPr>
              <w:t>r</w:t>
            </w:r>
            <w:r w:rsidRPr="00E96E15">
              <w:rPr>
                <w:b w:val="0"/>
                <w:i/>
                <w:sz w:val="22"/>
                <w:szCs w:val="22"/>
              </w:rPr>
              <w:t>son vereinigen zu müssen, führt mittelfri</w:t>
            </w:r>
            <w:r w:rsidRPr="00E96E15">
              <w:rPr>
                <w:b w:val="0"/>
                <w:i/>
                <w:sz w:val="22"/>
                <w:szCs w:val="22"/>
              </w:rPr>
              <w:t>s</w:t>
            </w:r>
            <w:r w:rsidRPr="00E96E15">
              <w:rPr>
                <w:b w:val="0"/>
                <w:i/>
                <w:sz w:val="22"/>
                <w:szCs w:val="22"/>
              </w:rPr>
              <w:t>tig dazu, wegen illusionärer Charismenk</w:t>
            </w:r>
            <w:r w:rsidRPr="00E96E15">
              <w:rPr>
                <w:b w:val="0"/>
                <w:i/>
                <w:sz w:val="22"/>
                <w:szCs w:val="22"/>
              </w:rPr>
              <w:t>u</w:t>
            </w:r>
            <w:r w:rsidRPr="00E96E15">
              <w:rPr>
                <w:b w:val="0"/>
                <w:i/>
                <w:sz w:val="22"/>
                <w:szCs w:val="22"/>
              </w:rPr>
              <w:t>mulation zusammenzubrechen.“</w:t>
            </w:r>
            <w:r w:rsidRPr="00E96E15">
              <w:rPr>
                <w:rStyle w:val="Funotenzeichen"/>
                <w:b w:val="0"/>
                <w:i/>
                <w:sz w:val="22"/>
                <w:szCs w:val="22"/>
              </w:rPr>
              <w:footnoteReference w:id="13"/>
            </w:r>
          </w:p>
        </w:tc>
      </w:tr>
    </w:tbl>
    <w:p w14:paraId="51F241EB" w14:textId="77777777" w:rsidR="00FE6104" w:rsidRDefault="00E53219" w:rsidP="00E53219">
      <w:r>
        <w:t>Der Zumutung von außen entsprechen nicht selten innere Allzuständigkeits-Fantasien.</w:t>
      </w:r>
      <w:r>
        <w:rPr>
          <w:rStyle w:val="Funotenzeichen"/>
        </w:rPr>
        <w:footnoteReference w:id="14"/>
      </w:r>
      <w:r>
        <w:t xml:space="preserve"> </w:t>
      </w:r>
    </w:p>
    <w:p w14:paraId="04EDB955" w14:textId="4D012DC6" w:rsidR="00E53219" w:rsidRPr="00FE6104" w:rsidRDefault="00E53219" w:rsidP="00FE6104">
      <w:pPr>
        <w:ind w:left="284"/>
      </w:pPr>
      <w:r w:rsidRPr="00FE6104">
        <w:rPr>
          <w:i/>
        </w:rPr>
        <w:t>„Der Pfarrer ernährt die Gemeinde und die Gemei</w:t>
      </w:r>
      <w:r w:rsidRPr="00FE6104">
        <w:rPr>
          <w:i/>
        </w:rPr>
        <w:t>n</w:t>
      </w:r>
      <w:r w:rsidRPr="00FE6104">
        <w:rPr>
          <w:i/>
        </w:rPr>
        <w:t>de verzehrt den Pfarrer.“</w:t>
      </w:r>
      <w:r w:rsidRPr="00FE6104">
        <w:rPr>
          <w:rStyle w:val="Funotenzeichen"/>
          <w:i/>
        </w:rPr>
        <w:footnoteReference w:id="15"/>
      </w:r>
      <w:r w:rsidRPr="00FE6104">
        <w:t xml:space="preserve"> </w:t>
      </w:r>
    </w:p>
    <w:p w14:paraId="734E0F9E" w14:textId="095D1A45" w:rsidR="00FE6104" w:rsidRDefault="00FE6104" w:rsidP="00E53219">
      <w:r>
        <w:t xml:space="preserve">Der </w:t>
      </w:r>
      <w:r w:rsidR="00E53219">
        <w:t>Umschlag vom Dienen zum Herrschen</w:t>
      </w:r>
      <w:r>
        <w:t xml:space="preserve"> liegt</w:t>
      </w:r>
      <w:r w:rsidR="00E53219">
        <w:t xml:space="preserve"> da gefährlich nahe, wo Pfarrer einen Anspruch d</w:t>
      </w:r>
      <w:r w:rsidR="00E53219">
        <w:t>a</w:t>
      </w:r>
      <w:r w:rsidR="00E53219">
        <w:t xml:space="preserve">rauf erheben, für alles zuständig, verantwortlich und maßgeblich zu sein. </w:t>
      </w:r>
      <w:r>
        <w:t>Außerdem überfordert die Pfa</w:t>
      </w:r>
      <w:r>
        <w:t>r</w:t>
      </w:r>
      <w:r>
        <w:t xml:space="preserve">rerzentrierung; sie gefährdet die Gesundheit und nimmt die Freude am Dienst. </w:t>
      </w:r>
    </w:p>
    <w:p w14:paraId="0BA3F828" w14:textId="77777777" w:rsidR="005420CC" w:rsidRDefault="005420CC" w:rsidP="00E5321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549"/>
        <w:gridCol w:w="812"/>
        <w:gridCol w:w="4859"/>
        <w:gridCol w:w="68"/>
      </w:tblGrid>
      <w:tr w:rsidR="005420CC" w14:paraId="0FE0B368" w14:textId="77777777" w:rsidTr="00542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9" w:type="dxa"/>
            <w:tcBorders>
              <w:right w:val="none" w:sz="0" w:space="0" w:color="auto"/>
            </w:tcBorders>
            <w:shd w:val="clear" w:color="C0C0C0" w:fill="auto"/>
          </w:tcPr>
          <w:p w14:paraId="6869623A" w14:textId="3A4F5F51" w:rsidR="005420CC" w:rsidRPr="005420CC" w:rsidRDefault="005420CC" w:rsidP="00E53219">
            <w:pPr>
              <w:rPr>
                <w:b w:val="0"/>
                <w:sz w:val="22"/>
                <w:szCs w:val="22"/>
              </w:rPr>
            </w:pPr>
            <w:r w:rsidRPr="005420CC">
              <w:rPr>
                <w:b w:val="0"/>
                <w:sz w:val="22"/>
                <w:szCs w:val="22"/>
              </w:rPr>
              <w:t>Erste Korrektur:</w:t>
            </w:r>
          </w:p>
        </w:tc>
        <w:tc>
          <w:tcPr>
            <w:tcW w:w="5739" w:type="dxa"/>
            <w:gridSpan w:val="3"/>
            <w:shd w:val="clear" w:color="C0C0C0" w:fill="auto"/>
          </w:tcPr>
          <w:p w14:paraId="2DEA4834" w14:textId="29CCF896" w:rsidR="005420CC" w:rsidRDefault="005420CC" w:rsidP="00E53219">
            <w:pPr>
              <w:cnfStyle w:val="100000000000" w:firstRow="1" w:lastRow="0" w:firstColumn="0" w:lastColumn="0" w:oddVBand="0" w:evenVBand="0" w:oddHBand="0" w:evenHBand="0" w:firstRowFirstColumn="0" w:firstRowLastColumn="0" w:lastRowFirstColumn="0" w:lastRowLastColumn="0"/>
            </w:pPr>
            <w:r w:rsidRPr="005420CC">
              <w:drawing>
                <wp:inline distT="0" distB="0" distL="0" distR="0" wp14:anchorId="37695734" wp14:editId="27EEB50A">
                  <wp:extent cx="3384127" cy="2538096"/>
                  <wp:effectExtent l="0" t="0" r="0" b="1905"/>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4849" cy="2538637"/>
                          </a:xfrm>
                          <a:prstGeom prst="rect">
                            <a:avLst/>
                          </a:prstGeom>
                          <a:noFill/>
                          <a:ln>
                            <a:noFill/>
                          </a:ln>
                        </pic:spPr>
                      </pic:pic>
                    </a:graphicData>
                  </a:graphic>
                </wp:inline>
              </w:drawing>
            </w:r>
          </w:p>
        </w:tc>
      </w:tr>
      <w:tr w:rsidR="005420CC" w14:paraId="479BAC0F" w14:textId="77777777" w:rsidTr="004C64F7">
        <w:trPr>
          <w:gridAfter w:val="1"/>
          <w:cnfStyle w:val="000000100000" w:firstRow="0" w:lastRow="0" w:firstColumn="0" w:lastColumn="0" w:oddVBand="0" w:evenVBand="0" w:oddHBand="1" w:evenHBand="0" w:firstRowFirstColumn="0" w:firstRowLastColumn="0" w:lastRowFirstColumn="0" w:lastRowLastColumn="0"/>
          <w:wAfter w:w="68" w:type="dxa"/>
        </w:trPr>
        <w:tc>
          <w:tcPr>
            <w:cnfStyle w:val="001000000000" w:firstRow="0" w:lastRow="0" w:firstColumn="1" w:lastColumn="0" w:oddVBand="0" w:evenVBand="0" w:oddHBand="0" w:evenHBand="0" w:firstRowFirstColumn="0" w:firstRowLastColumn="0" w:lastRowFirstColumn="0" w:lastRowLastColumn="0"/>
            <w:tcW w:w="4361" w:type="dxa"/>
            <w:gridSpan w:val="2"/>
            <w:tcBorders>
              <w:top w:val="none" w:sz="0" w:space="0" w:color="auto"/>
              <w:right w:val="none" w:sz="0" w:space="0" w:color="auto"/>
            </w:tcBorders>
            <w:shd w:val="clear" w:color="C0C0C0" w:fill="auto"/>
          </w:tcPr>
          <w:p w14:paraId="46C82263" w14:textId="44DAF9B4" w:rsidR="005420CC" w:rsidRPr="005420CC" w:rsidRDefault="005420CC" w:rsidP="00E53219">
            <w:pPr>
              <w:rPr>
                <w:sz w:val="22"/>
                <w:szCs w:val="22"/>
              </w:rPr>
            </w:pPr>
            <w:r w:rsidRPr="005420CC">
              <w:rPr>
                <w:sz w:val="22"/>
                <w:szCs w:val="22"/>
              </w:rPr>
              <w:t xml:space="preserve">Zweite Korrektur: </w:t>
            </w:r>
          </w:p>
          <w:p w14:paraId="67230A5E" w14:textId="77C5BAFB" w:rsidR="005420CC" w:rsidRPr="005420CC" w:rsidRDefault="005420CC" w:rsidP="00D46EB0">
            <w:pPr>
              <w:rPr>
                <w:sz w:val="22"/>
                <w:szCs w:val="22"/>
              </w:rPr>
            </w:pPr>
            <w:r w:rsidRPr="005420CC">
              <w:rPr>
                <w:sz w:val="22"/>
                <w:szCs w:val="22"/>
              </w:rPr>
              <w:t>Es ist ein Irrtum anzunehmen, unser Pfarramt sei mit dem „</w:t>
            </w:r>
            <w:r w:rsidRPr="00755D4F">
              <w:rPr>
                <w:i/>
                <w:sz w:val="22"/>
                <w:szCs w:val="22"/>
              </w:rPr>
              <w:t>ministerium inst</w:t>
            </w:r>
            <w:r w:rsidRPr="00755D4F">
              <w:rPr>
                <w:i/>
                <w:sz w:val="22"/>
                <w:szCs w:val="22"/>
              </w:rPr>
              <w:t>i</w:t>
            </w:r>
            <w:r w:rsidRPr="00755D4F">
              <w:rPr>
                <w:i/>
                <w:sz w:val="22"/>
                <w:szCs w:val="22"/>
              </w:rPr>
              <w:t>tutum</w:t>
            </w:r>
            <w:r w:rsidR="00755D4F">
              <w:rPr>
                <w:i/>
                <w:sz w:val="22"/>
                <w:szCs w:val="22"/>
              </w:rPr>
              <w:t>“</w:t>
            </w:r>
            <w:r w:rsidRPr="005420CC">
              <w:rPr>
                <w:sz w:val="22"/>
                <w:szCs w:val="22"/>
              </w:rPr>
              <w:t xml:space="preserve"> aus der Confessio Augustana schlicht identisch. G</w:t>
            </w:r>
            <w:r w:rsidRPr="005420CC">
              <w:rPr>
                <w:sz w:val="22"/>
                <w:szCs w:val="22"/>
              </w:rPr>
              <w:t>e</w:t>
            </w:r>
            <w:r w:rsidRPr="005420CC">
              <w:rPr>
                <w:sz w:val="22"/>
                <w:szCs w:val="22"/>
              </w:rPr>
              <w:t>meint ist in CA 5 der Dienst von Verkündigung und Sakrament</w:t>
            </w:r>
            <w:r w:rsidRPr="005420CC">
              <w:rPr>
                <w:sz w:val="22"/>
                <w:szCs w:val="22"/>
              </w:rPr>
              <w:t>s</w:t>
            </w:r>
            <w:r w:rsidRPr="005420CC">
              <w:rPr>
                <w:sz w:val="22"/>
                <w:szCs w:val="22"/>
              </w:rPr>
              <w:t>verwaltung an sich. Das Wort und das Mahl und die Taufe sind miteinander das Gegenüber zur Gemeinde.</w:t>
            </w:r>
            <w:r w:rsidRPr="005420CC">
              <w:rPr>
                <w:rStyle w:val="Funotenzeichen"/>
                <w:sz w:val="22"/>
                <w:szCs w:val="22"/>
              </w:rPr>
              <w:footnoteReference w:id="16"/>
            </w:r>
            <w:r w:rsidRPr="005420CC">
              <w:rPr>
                <w:sz w:val="22"/>
                <w:szCs w:val="22"/>
              </w:rPr>
              <w:t xml:space="preserve"> Nicht der Pfar</w:t>
            </w:r>
            <w:r w:rsidR="00755D4F">
              <w:rPr>
                <w:sz w:val="22"/>
                <w:szCs w:val="22"/>
              </w:rPr>
              <w:t xml:space="preserve">rer. </w:t>
            </w:r>
          </w:p>
        </w:tc>
        <w:tc>
          <w:tcPr>
            <w:tcW w:w="4859" w:type="dxa"/>
            <w:tcBorders>
              <w:top w:val="none" w:sz="0" w:space="0" w:color="auto"/>
              <w:bottom w:val="none" w:sz="0" w:space="0" w:color="auto"/>
            </w:tcBorders>
            <w:shd w:val="clear" w:color="C0C0C0" w:fill="auto"/>
          </w:tcPr>
          <w:p w14:paraId="4651B50E" w14:textId="2F5E5388" w:rsidR="005420CC" w:rsidRDefault="005420CC" w:rsidP="00E53219">
            <w:pPr>
              <w:cnfStyle w:val="000000100000" w:firstRow="0" w:lastRow="0" w:firstColumn="0" w:lastColumn="0" w:oddVBand="0" w:evenVBand="0" w:oddHBand="1" w:evenHBand="0" w:firstRowFirstColumn="0" w:firstRowLastColumn="0" w:lastRowFirstColumn="0" w:lastRowLastColumn="0"/>
            </w:pPr>
            <w:r w:rsidRPr="005420CC">
              <w:rPr>
                <w:b/>
                <w:i/>
              </w:rPr>
              <w:drawing>
                <wp:inline distT="0" distB="0" distL="0" distR="0" wp14:anchorId="50B7531C" wp14:editId="631FA13E">
                  <wp:extent cx="2861097" cy="2145824"/>
                  <wp:effectExtent l="0" t="0" r="9525" b="0"/>
                  <wp:docPr id="3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382" cy="2146788"/>
                          </a:xfrm>
                          <a:prstGeom prst="rect">
                            <a:avLst/>
                          </a:prstGeom>
                          <a:noFill/>
                          <a:ln>
                            <a:noFill/>
                          </a:ln>
                        </pic:spPr>
                      </pic:pic>
                    </a:graphicData>
                  </a:graphic>
                </wp:inline>
              </w:drawing>
            </w:r>
          </w:p>
        </w:tc>
      </w:tr>
    </w:tbl>
    <w:p w14:paraId="14C88A56" w14:textId="733744F5" w:rsidR="005420CC" w:rsidRDefault="005420CC" w:rsidP="005420CC">
      <w:pPr>
        <w:jc w:val="center"/>
      </w:pPr>
      <w:r w:rsidRPr="005420CC">
        <w:drawing>
          <wp:inline distT="0" distB="0" distL="0" distR="0" wp14:anchorId="2FD34BA2" wp14:editId="472A03DE">
            <wp:extent cx="3453342" cy="2590007"/>
            <wp:effectExtent l="0" t="0" r="1270" b="1270"/>
            <wp:docPr id="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3342" cy="2590007"/>
                    </a:xfrm>
                    <a:prstGeom prst="rect">
                      <a:avLst/>
                    </a:prstGeom>
                    <a:noFill/>
                    <a:ln>
                      <a:noFill/>
                    </a:ln>
                  </pic:spPr>
                </pic:pic>
              </a:graphicData>
            </a:graphic>
          </wp:inline>
        </w:drawing>
      </w:r>
    </w:p>
    <w:p w14:paraId="47C5EA0C" w14:textId="19DA3427" w:rsidR="00D46EB0" w:rsidRDefault="00D46EB0" w:rsidP="00D46EB0">
      <w:pPr>
        <w:jc w:val="center"/>
        <w:rPr>
          <w:sz w:val="20"/>
          <w:szCs w:val="20"/>
        </w:rPr>
      </w:pPr>
      <w:bookmarkStart w:id="24" w:name="OLE_LINK34"/>
      <w:r w:rsidRPr="00D46EB0">
        <w:rPr>
          <w:sz w:val="20"/>
          <w:szCs w:val="20"/>
        </w:rPr>
        <w:drawing>
          <wp:inline distT="0" distB="0" distL="0" distR="0" wp14:anchorId="33C5726D" wp14:editId="551A94A7">
            <wp:extent cx="3034242" cy="2275682"/>
            <wp:effectExtent l="0" t="0" r="0" b="10795"/>
            <wp:docPr id="3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242" cy="2275682"/>
                    </a:xfrm>
                    <a:prstGeom prst="rect">
                      <a:avLst/>
                    </a:prstGeom>
                    <a:noFill/>
                    <a:ln>
                      <a:noFill/>
                    </a:ln>
                  </pic:spPr>
                </pic:pic>
              </a:graphicData>
            </a:graphic>
          </wp:inline>
        </w:drawing>
      </w:r>
    </w:p>
    <w:bookmarkEnd w:id="24"/>
    <w:p w14:paraId="5D5DDDCD" w14:textId="77777777" w:rsidR="00C3029D" w:rsidRDefault="00C3029D" w:rsidP="00B83FFD">
      <w:pPr>
        <w:keepNext/>
      </w:pPr>
      <w:r>
        <w:t>Ordinationsvorhalt der UEK</w:t>
      </w:r>
      <w:r w:rsidR="00E53219" w:rsidRPr="000454CC">
        <w:t xml:space="preserve">: </w:t>
      </w:r>
      <w:bookmarkStart w:id="25" w:name="OLE_LINK45"/>
      <w:bookmarkStart w:id="26" w:name="OLE_LINK46"/>
    </w:p>
    <w:p w14:paraId="71C9E260" w14:textId="7512DD68" w:rsidR="00E53219" w:rsidRDefault="00E53219" w:rsidP="00B83FFD">
      <w:pPr>
        <w:ind w:left="284"/>
        <w:rPr>
          <w:i/>
        </w:rPr>
      </w:pPr>
      <w:r w:rsidRPr="00C3029D">
        <w:rPr>
          <w:i/>
        </w:rPr>
        <w:t>„Du wirst nun ermächtigt zu predigen, zu taufen und das Abendmahl au</w:t>
      </w:r>
      <w:r w:rsidRPr="00C3029D">
        <w:rPr>
          <w:i/>
        </w:rPr>
        <w:t>s</w:t>
      </w:r>
      <w:r w:rsidRPr="00C3029D">
        <w:rPr>
          <w:i/>
        </w:rPr>
        <w:t>zuteilen.“</w:t>
      </w:r>
      <w:bookmarkEnd w:id="25"/>
      <w:bookmarkEnd w:id="26"/>
      <w:r w:rsidRPr="00C3029D">
        <w:rPr>
          <w:rStyle w:val="Funotenzeichen"/>
          <w:i/>
        </w:rPr>
        <w:footnoteReference w:id="17"/>
      </w:r>
      <w:r w:rsidRPr="00C3029D">
        <w:rPr>
          <w:i/>
        </w:rPr>
        <w:t xml:space="preserve"> </w:t>
      </w:r>
    </w:p>
    <w:p w14:paraId="5950F99D" w14:textId="41B8FA6F" w:rsidR="00C3029D" w:rsidRPr="00C3029D" w:rsidRDefault="00C3029D" w:rsidP="00B83FFD">
      <w:pPr>
        <w:ind w:left="284"/>
        <w:rPr>
          <w:i/>
        </w:rPr>
      </w:pPr>
      <w:bookmarkStart w:id="27" w:name="OLE_LINK47"/>
      <w:bookmarkStart w:id="28" w:name="OLE_LINK48"/>
      <w:r w:rsidRPr="00C3029D">
        <w:rPr>
          <w:i/>
        </w:rPr>
        <w:t>„In Gottesdienst, Unterweisung und Seelsorge sollst du am Aufbau der Gemeinde mitwirken und sie zum Dienst in der Welt ermut</w:t>
      </w:r>
      <w:r w:rsidRPr="00C3029D">
        <w:rPr>
          <w:i/>
        </w:rPr>
        <w:t>i</w:t>
      </w:r>
      <w:r w:rsidRPr="00C3029D">
        <w:rPr>
          <w:i/>
        </w:rPr>
        <w:t>gen.“</w:t>
      </w:r>
      <w:bookmarkEnd w:id="27"/>
      <w:bookmarkEnd w:id="28"/>
      <w:r>
        <w:rPr>
          <w:rStyle w:val="Funotenzeichen"/>
        </w:rPr>
        <w:footnoteReference w:id="18"/>
      </w:r>
    </w:p>
    <w:p w14:paraId="6FC4DA1C" w14:textId="11045E53" w:rsidR="00C3029D" w:rsidRDefault="00DD124D" w:rsidP="00DD124D">
      <w:pPr>
        <w:jc w:val="center"/>
      </w:pPr>
      <w:r w:rsidRPr="00DD124D">
        <w:drawing>
          <wp:inline distT="0" distB="0" distL="0" distR="0" wp14:anchorId="2C0905B0" wp14:editId="74D82D49">
            <wp:extent cx="4191282" cy="3143462"/>
            <wp:effectExtent l="0" t="0" r="0" b="6350"/>
            <wp:docPr id="3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947" cy="3143960"/>
                    </a:xfrm>
                    <a:prstGeom prst="rect">
                      <a:avLst/>
                    </a:prstGeom>
                    <a:noFill/>
                    <a:ln>
                      <a:noFill/>
                    </a:ln>
                  </pic:spPr>
                </pic:pic>
              </a:graphicData>
            </a:graphic>
          </wp:inline>
        </w:drawing>
      </w:r>
      <w:r>
        <w:rPr>
          <w:rStyle w:val="Funotenzeichen"/>
        </w:rPr>
        <w:footnoteReference w:id="19"/>
      </w:r>
    </w:p>
    <w:p w14:paraId="18441D66" w14:textId="77777777" w:rsidR="001241EE" w:rsidRPr="001241EE" w:rsidRDefault="00E53219" w:rsidP="00E53219">
      <w:r w:rsidRPr="001241EE">
        <w:t>Die Ämter in der Gemeinde dienen, aber sie bedienen nicht.</w:t>
      </w:r>
      <w:r w:rsidRPr="001241EE">
        <w:rPr>
          <w:rStyle w:val="Funotenzeichen"/>
        </w:rPr>
        <w:footnoteReference w:id="20"/>
      </w:r>
      <w:r w:rsidRPr="001241EE">
        <w:t xml:space="preserve"> Sie predigen, aber sie entlassen die Gemeinde nicht aus ihrem Zeugendienst. Die Gemeinde wird nicht zu einer Art „betreutes Wo</w:t>
      </w:r>
      <w:r w:rsidRPr="001241EE">
        <w:t>h</w:t>
      </w:r>
      <w:r w:rsidRPr="001241EE">
        <w:t>nen“.</w:t>
      </w:r>
      <w:r w:rsidRPr="001241EE">
        <w:rPr>
          <w:rStyle w:val="Funotenzeichen"/>
        </w:rPr>
        <w:footnoteReference w:id="21"/>
      </w:r>
      <w:r w:rsidRPr="001241EE">
        <w:t xml:space="preserve"> Im Gegenteil: Das Amt in der Gemeinde ist ein „Dienstbefähigungsamt“.</w:t>
      </w:r>
      <w:r w:rsidRPr="001241EE">
        <w:rPr>
          <w:rStyle w:val="Funotenzeichen"/>
        </w:rPr>
        <w:footnoteReference w:id="22"/>
      </w:r>
    </w:p>
    <w:p w14:paraId="65140AB4" w14:textId="2C66BC9D" w:rsidR="00391D5D" w:rsidRDefault="00E53219" w:rsidP="00E53219">
      <w:r>
        <w:t>Die Bildungsaufgabe der pluralen Leitungsdienste besteht eben darin, die Heiligen zum Dienst zuz</w:t>
      </w:r>
      <w:r>
        <w:t>u</w:t>
      </w:r>
      <w:r>
        <w:t>rüsten.</w:t>
      </w:r>
      <w:r>
        <w:rPr>
          <w:rStyle w:val="Funotenzeichen"/>
        </w:rPr>
        <w:footnoteReference w:id="23"/>
      </w:r>
      <w:r w:rsidR="00391D5D">
        <w:t xml:space="preserve"> Dann aber </w:t>
      </w:r>
      <w:r>
        <w:t>wird man Pfarrer und Pfarrerinnen aber danach einschätzen, ob sie die Gaben der Heiligen gefördert haben und die Eigentätigkeit der Christen im Dienst unterstützt oder aber behindert h</w:t>
      </w:r>
      <w:r>
        <w:t>a</w:t>
      </w:r>
      <w:r>
        <w:t xml:space="preserve">ben. </w:t>
      </w:r>
    </w:p>
    <w:p w14:paraId="49730222" w14:textId="62988365" w:rsidR="00E53219" w:rsidRPr="00391D5D" w:rsidRDefault="00E53219" w:rsidP="00391D5D">
      <w:pPr>
        <w:ind w:left="284"/>
      </w:pPr>
      <w:r w:rsidRPr="00391D5D">
        <w:rPr>
          <w:i/>
        </w:rPr>
        <w:t>„Einen guten Pfarrer erkennt man an der Mündi</w:t>
      </w:r>
      <w:r w:rsidRPr="00391D5D">
        <w:rPr>
          <w:i/>
        </w:rPr>
        <w:t>g</w:t>
      </w:r>
      <w:r w:rsidRPr="00391D5D">
        <w:rPr>
          <w:i/>
        </w:rPr>
        <w:t>keit der Gemeinde.“</w:t>
      </w:r>
      <w:r w:rsidR="00391D5D" w:rsidRPr="00391D5D">
        <w:rPr>
          <w:i/>
        </w:rPr>
        <w:t xml:space="preserve"> (Klaus Douglass</w:t>
      </w:r>
      <w:r w:rsidR="00391D5D" w:rsidRPr="00391D5D">
        <w:rPr>
          <w:rStyle w:val="Funotenzeichen"/>
        </w:rPr>
        <w:footnoteReference w:id="24"/>
      </w:r>
      <w:r w:rsidR="00391D5D" w:rsidRPr="00391D5D">
        <w:rPr>
          <w:i/>
        </w:rPr>
        <w:t>)</w:t>
      </w:r>
    </w:p>
    <w:p w14:paraId="6B4301D4" w14:textId="5BB521CE" w:rsidR="00E53219" w:rsidRDefault="00E53219" w:rsidP="00E53219">
      <w:pPr>
        <w:pStyle w:val="berschrift3"/>
      </w:pPr>
      <w:bookmarkStart w:id="29" w:name="_Toc159417513"/>
      <w:bookmarkStart w:id="30" w:name="_Toc220240182"/>
      <w:r>
        <w:t>12.3.5 Geistliche Leitung bedarf des Plurals: Der Geist leitet uns vom Ich zum Wir</w:t>
      </w:r>
      <w:bookmarkEnd w:id="29"/>
      <w:bookmarkEnd w:id="30"/>
      <w:r w:rsidR="00822EA8">
        <w:rPr>
          <w:rStyle w:val="Funotenzeichen"/>
        </w:rPr>
        <w:footnoteReference w:id="25"/>
      </w:r>
    </w:p>
    <w:p w14:paraId="5EBF40CD" w14:textId="47192D61" w:rsidR="00822EA8" w:rsidRPr="00822EA8" w:rsidRDefault="00822EA8" w:rsidP="00822EA8">
      <w:pPr>
        <w:jc w:val="center"/>
      </w:pPr>
      <w:r w:rsidRPr="00822EA8">
        <w:drawing>
          <wp:inline distT="0" distB="0" distL="0" distR="0" wp14:anchorId="1D1D4F1D" wp14:editId="29CB6256">
            <wp:extent cx="2615142" cy="1961357"/>
            <wp:effectExtent l="0" t="0" r="1270" b="0"/>
            <wp:docPr id="3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142" cy="1961357"/>
                    </a:xfrm>
                    <a:prstGeom prst="rect">
                      <a:avLst/>
                    </a:prstGeom>
                    <a:noFill/>
                    <a:ln>
                      <a:noFill/>
                    </a:ln>
                  </pic:spPr>
                </pic:pic>
              </a:graphicData>
            </a:graphic>
          </wp:inline>
        </w:drawing>
      </w:r>
    </w:p>
    <w:p w14:paraId="7A883F07" w14:textId="31AA3C47" w:rsidR="00822EA8" w:rsidRDefault="00822EA8" w:rsidP="00822EA8">
      <w:pPr>
        <w:jc w:val="center"/>
      </w:pPr>
      <w:r w:rsidRPr="00822EA8">
        <w:drawing>
          <wp:inline distT="0" distB="0" distL="0" distR="0" wp14:anchorId="0865364A" wp14:editId="6274C66F">
            <wp:extent cx="4151842" cy="3113882"/>
            <wp:effectExtent l="0" t="0" r="0" b="10795"/>
            <wp:docPr id="3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1842" cy="3113882"/>
                    </a:xfrm>
                    <a:prstGeom prst="rect">
                      <a:avLst/>
                    </a:prstGeom>
                    <a:noFill/>
                    <a:ln>
                      <a:noFill/>
                    </a:ln>
                  </pic:spPr>
                </pic:pic>
              </a:graphicData>
            </a:graphic>
          </wp:inline>
        </w:drawing>
      </w:r>
    </w:p>
    <w:p w14:paraId="1783CB97" w14:textId="4DFB92DF" w:rsidR="00822EA8" w:rsidRDefault="00822EA8" w:rsidP="00822EA8">
      <w:pPr>
        <w:jc w:val="center"/>
      </w:pPr>
      <w:r w:rsidRPr="00822EA8">
        <w:drawing>
          <wp:inline distT="0" distB="0" distL="0" distR="0" wp14:anchorId="6D8CDE7A" wp14:editId="7D649AA4">
            <wp:extent cx="4089612" cy="3067210"/>
            <wp:effectExtent l="0" t="0" r="0" b="6350"/>
            <wp:docPr id="39"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1534" cy="3068652"/>
                    </a:xfrm>
                    <a:prstGeom prst="rect">
                      <a:avLst/>
                    </a:prstGeom>
                    <a:noFill/>
                    <a:ln>
                      <a:noFill/>
                    </a:ln>
                  </pic:spPr>
                </pic:pic>
              </a:graphicData>
            </a:graphic>
          </wp:inline>
        </w:drawing>
      </w:r>
    </w:p>
    <w:p w14:paraId="3723DE8A" w14:textId="18D6329F" w:rsidR="00822EA8" w:rsidRDefault="00822EA8" w:rsidP="00822EA8">
      <w:pPr>
        <w:jc w:val="center"/>
      </w:pPr>
      <w:r w:rsidRPr="00822EA8">
        <w:drawing>
          <wp:inline distT="0" distB="0" distL="0" distR="0" wp14:anchorId="25E9323A" wp14:editId="08777766">
            <wp:extent cx="3034242" cy="2275682"/>
            <wp:effectExtent l="0" t="0" r="0" b="10795"/>
            <wp:docPr id="4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4242" cy="2275682"/>
                    </a:xfrm>
                    <a:prstGeom prst="rect">
                      <a:avLst/>
                    </a:prstGeom>
                    <a:noFill/>
                    <a:ln>
                      <a:noFill/>
                    </a:ln>
                  </pic:spPr>
                </pic:pic>
              </a:graphicData>
            </a:graphic>
          </wp:inline>
        </w:drawing>
      </w:r>
    </w:p>
    <w:p w14:paraId="71706577" w14:textId="3B61FE8F" w:rsidR="00E53219" w:rsidRPr="00822EA8" w:rsidRDefault="00C36158" w:rsidP="00E53219">
      <w:r>
        <w:t xml:space="preserve">Fazit: </w:t>
      </w:r>
      <w:r w:rsidR="00E53219" w:rsidRPr="00822EA8">
        <w:t>Geistliche Leitung ist dann gute Leitung, wenn sie gemeinsam von Menschen wahrgenommen wird, die der Geist in der Gemeinschaft dazu berufen hat, und die offen bleiben für die Führung durch Go</w:t>
      </w:r>
      <w:r w:rsidR="00E53219" w:rsidRPr="00822EA8">
        <w:t>t</w:t>
      </w:r>
      <w:r w:rsidR="00E53219" w:rsidRPr="00822EA8">
        <w:t>tes Geist und die Ergänzung des je anderen. Es geht jedenfalls nicht um Geistliche Leitung als Her</w:t>
      </w:r>
      <w:r w:rsidR="00E53219" w:rsidRPr="00822EA8">
        <w:t>r</w:t>
      </w:r>
      <w:r w:rsidR="00E53219" w:rsidRPr="00822EA8">
        <w:t xml:space="preserve">schaft, sondern um Geistliche Leitung als Dienst. </w:t>
      </w:r>
    </w:p>
    <w:p w14:paraId="1D28D1A6" w14:textId="77777777" w:rsidR="001B6DD4" w:rsidRDefault="001B6DD4" w:rsidP="00C36158">
      <w:pPr>
        <w:pStyle w:val="berschrift2"/>
        <w:ind w:left="284" w:hanging="284"/>
        <w:rPr>
          <w:sz w:val="20"/>
          <w:szCs w:val="20"/>
        </w:rPr>
      </w:pPr>
    </w:p>
    <w:p w14:paraId="0F408D38" w14:textId="77777777" w:rsidR="00F84CFB" w:rsidRPr="00F84CFB" w:rsidRDefault="00F84CFB" w:rsidP="00F84CFB">
      <w:bookmarkStart w:id="31" w:name="_GoBack"/>
      <w:bookmarkEnd w:id="31"/>
    </w:p>
    <w:p w14:paraId="56F72B64" w14:textId="396F82A0" w:rsidR="00E53219" w:rsidRPr="001B6DD4" w:rsidRDefault="00E53219" w:rsidP="00C36158">
      <w:pPr>
        <w:pStyle w:val="berschrift2"/>
        <w:ind w:left="284" w:hanging="284"/>
        <w:rPr>
          <w:noProof/>
          <w:sz w:val="22"/>
          <w:szCs w:val="22"/>
        </w:rPr>
      </w:pPr>
      <w:r w:rsidRPr="001B6DD4">
        <w:rPr>
          <w:sz w:val="22"/>
          <w:szCs w:val="22"/>
        </w:rPr>
        <w:fldChar w:fldCharType="begin"/>
      </w:r>
      <w:r w:rsidRPr="001B6DD4">
        <w:rPr>
          <w:sz w:val="22"/>
          <w:szCs w:val="22"/>
        </w:rPr>
        <w:instrText xml:space="preserve"> ADDIN EN.REFLIST </w:instrText>
      </w:r>
      <w:r w:rsidRPr="001B6DD4">
        <w:rPr>
          <w:sz w:val="22"/>
          <w:szCs w:val="22"/>
        </w:rPr>
        <w:fldChar w:fldCharType="separate"/>
      </w:r>
      <w:r w:rsidRPr="001B6DD4">
        <w:rPr>
          <w:sz w:val="22"/>
          <w:szCs w:val="22"/>
        </w:rPr>
        <w:fldChar w:fldCharType="begin"/>
      </w:r>
      <w:r w:rsidRPr="001B6DD4">
        <w:rPr>
          <w:sz w:val="22"/>
          <w:szCs w:val="22"/>
        </w:rPr>
        <w:instrText xml:space="preserve"> ADDIN EN.REFLIST </w:instrText>
      </w:r>
      <w:r w:rsidRPr="001B6DD4">
        <w:rPr>
          <w:sz w:val="22"/>
          <w:szCs w:val="22"/>
        </w:rPr>
        <w:fldChar w:fldCharType="separate"/>
      </w:r>
      <w:bookmarkStart w:id="32" w:name="_Toc220240183"/>
      <w:r w:rsidRPr="001B6DD4">
        <w:rPr>
          <w:noProof/>
          <w:sz w:val="22"/>
          <w:szCs w:val="22"/>
        </w:rPr>
        <w:t>Literaturliste</w:t>
      </w:r>
      <w:bookmarkEnd w:id="32"/>
    </w:p>
    <w:p w14:paraId="6348875F" w14:textId="77777777" w:rsidR="00E53219" w:rsidRPr="001B6DD4" w:rsidRDefault="00E53219" w:rsidP="00C36158">
      <w:pPr>
        <w:spacing w:after="0" w:line="240" w:lineRule="auto"/>
        <w:ind w:left="284" w:hanging="284"/>
        <w:rPr>
          <w:noProof/>
        </w:rPr>
      </w:pPr>
      <w:bookmarkStart w:id="33" w:name="_ENREF_25"/>
      <w:bookmarkStart w:id="34" w:name="_ENREF_1"/>
      <w:r w:rsidRPr="001B6DD4">
        <w:rPr>
          <w:noProof/>
        </w:rPr>
        <w:t xml:space="preserve">Bischofskonferenz der VELKD (Hg.): </w:t>
      </w:r>
      <w:r w:rsidRPr="001B6DD4">
        <w:rPr>
          <w:i/>
          <w:noProof/>
        </w:rPr>
        <w:t>Ordnungsgemäß berufen. Eine Empfehlung der Bischofskonferenz der VELKD zur Berufung zu Wortverkündigung und Sakramentsverwaltung nach evangelischem Verständnis</w:t>
      </w:r>
      <w:r w:rsidRPr="001B6DD4">
        <w:rPr>
          <w:noProof/>
        </w:rPr>
        <w:t xml:space="preserve">. Ahrensburg 2006 </w:t>
      </w:r>
      <w:bookmarkEnd w:id="33"/>
    </w:p>
    <w:p w14:paraId="707E44DD" w14:textId="77777777" w:rsidR="00E53219" w:rsidRPr="001B6DD4" w:rsidRDefault="00E53219" w:rsidP="00C36158">
      <w:pPr>
        <w:spacing w:after="0" w:line="240" w:lineRule="auto"/>
        <w:ind w:left="284" w:hanging="284"/>
        <w:rPr>
          <w:noProof/>
        </w:rPr>
      </w:pPr>
      <w:r w:rsidRPr="001B6DD4">
        <w:rPr>
          <w:noProof/>
        </w:rPr>
        <w:t xml:space="preserve">Böhlemann, Peter: </w:t>
      </w:r>
      <w:r w:rsidRPr="001B6DD4">
        <w:rPr>
          <w:i/>
          <w:noProof/>
        </w:rPr>
        <w:t>Wie die Kirche wachsen kann und was sie davon abhält</w:t>
      </w:r>
      <w:r w:rsidRPr="001B6DD4">
        <w:rPr>
          <w:noProof/>
        </w:rPr>
        <w:t xml:space="preserve">. Göttingen 2006 </w:t>
      </w:r>
      <w:bookmarkEnd w:id="34"/>
    </w:p>
    <w:p w14:paraId="3724CE11" w14:textId="77777777" w:rsidR="00E53219" w:rsidRPr="001B6DD4" w:rsidRDefault="00E53219" w:rsidP="00C36158">
      <w:pPr>
        <w:spacing w:after="0" w:line="240" w:lineRule="auto"/>
        <w:ind w:left="284" w:hanging="284"/>
        <w:rPr>
          <w:b/>
          <w:noProof/>
        </w:rPr>
      </w:pPr>
      <w:bookmarkStart w:id="35" w:name="_ENREF_2"/>
      <w:r w:rsidRPr="001B6DD4">
        <w:rPr>
          <w:b/>
          <w:noProof/>
        </w:rPr>
        <w:t xml:space="preserve">Böhlemann, Peter und Herbst, Michael: </w:t>
      </w:r>
      <w:r w:rsidRPr="001B6DD4">
        <w:rPr>
          <w:b/>
          <w:i/>
          <w:noProof/>
        </w:rPr>
        <w:t>Geistliche Leitung</w:t>
      </w:r>
      <w:r w:rsidRPr="001B6DD4">
        <w:rPr>
          <w:b/>
          <w:noProof/>
        </w:rPr>
        <w:t xml:space="preserve">. Göttingen 2011 </w:t>
      </w:r>
      <w:bookmarkEnd w:id="35"/>
    </w:p>
    <w:p w14:paraId="1A023EB7" w14:textId="77777777" w:rsidR="00E53219" w:rsidRPr="001B6DD4" w:rsidRDefault="00E53219" w:rsidP="00C36158">
      <w:pPr>
        <w:spacing w:after="0" w:line="240" w:lineRule="auto"/>
        <w:ind w:left="284" w:hanging="284"/>
        <w:rPr>
          <w:noProof/>
        </w:rPr>
      </w:pPr>
      <w:bookmarkStart w:id="36" w:name="_ENREF_3"/>
      <w:r w:rsidRPr="001B6DD4">
        <w:rPr>
          <w:noProof/>
        </w:rPr>
        <w:t xml:space="preserve">Böttrich, Christfried:  </w:t>
      </w:r>
      <w:r w:rsidRPr="001B6DD4">
        <w:rPr>
          <w:i/>
          <w:noProof/>
        </w:rPr>
        <w:t>Gemeinde und Gemeindeleitung nach Epheser 4</w:t>
      </w:r>
      <w:r w:rsidRPr="001B6DD4">
        <w:rPr>
          <w:noProof/>
        </w:rPr>
        <w:t>. ThBeitr 30 (1999), 137-150</w:t>
      </w:r>
      <w:bookmarkEnd w:id="36"/>
    </w:p>
    <w:p w14:paraId="632CB278" w14:textId="77777777" w:rsidR="00E53219" w:rsidRPr="001B6DD4" w:rsidRDefault="00E53219" w:rsidP="00C36158">
      <w:pPr>
        <w:spacing w:after="0" w:line="240" w:lineRule="auto"/>
        <w:ind w:left="284" w:hanging="284"/>
        <w:rPr>
          <w:noProof/>
        </w:rPr>
      </w:pPr>
      <w:bookmarkStart w:id="37" w:name="_ENREF_4"/>
      <w:r w:rsidRPr="001B6DD4">
        <w:rPr>
          <w:noProof/>
        </w:rPr>
        <w:t xml:space="preserve">Breen, Mike und Kallestad, Walt: </w:t>
      </w:r>
      <w:r w:rsidRPr="001B6DD4">
        <w:rPr>
          <w:i/>
          <w:noProof/>
        </w:rPr>
        <w:t>The Passionate Church. The Art of Life-Changing Discipleship</w:t>
      </w:r>
      <w:r w:rsidRPr="001B6DD4">
        <w:rPr>
          <w:noProof/>
        </w:rPr>
        <w:t xml:space="preserve">. Colorado Springs u.a. 2005 </w:t>
      </w:r>
      <w:bookmarkEnd w:id="37"/>
    </w:p>
    <w:p w14:paraId="44C78414" w14:textId="77777777" w:rsidR="00E53219" w:rsidRPr="001B6DD4" w:rsidRDefault="00E53219" w:rsidP="00C36158">
      <w:pPr>
        <w:spacing w:after="0" w:line="240" w:lineRule="auto"/>
        <w:ind w:left="284" w:hanging="284"/>
        <w:rPr>
          <w:noProof/>
        </w:rPr>
      </w:pPr>
      <w:bookmarkStart w:id="38" w:name="_ENREF_5"/>
      <w:r w:rsidRPr="001B6DD4">
        <w:rPr>
          <w:noProof/>
        </w:rPr>
        <w:t xml:space="preserve">Douglass, Klaus: </w:t>
      </w:r>
      <w:r w:rsidRPr="001B6DD4">
        <w:rPr>
          <w:i/>
          <w:noProof/>
        </w:rPr>
        <w:t>Die neue Reformation. 96 Thesen zur Zukunft der Kirche</w:t>
      </w:r>
      <w:r w:rsidRPr="001B6DD4">
        <w:rPr>
          <w:noProof/>
        </w:rPr>
        <w:t>. Stuttgart 2001</w:t>
      </w:r>
      <w:bookmarkEnd w:id="38"/>
    </w:p>
    <w:p w14:paraId="3522CEFB" w14:textId="77777777" w:rsidR="00E53219" w:rsidRPr="001B6DD4" w:rsidRDefault="00E53219" w:rsidP="00C36158">
      <w:pPr>
        <w:spacing w:after="0" w:line="240" w:lineRule="auto"/>
        <w:ind w:left="284" w:hanging="284"/>
        <w:rPr>
          <w:noProof/>
        </w:rPr>
      </w:pPr>
      <w:bookmarkStart w:id="39" w:name="_ENREF_7"/>
      <w:r w:rsidRPr="001B6DD4">
        <w:rPr>
          <w:noProof/>
        </w:rPr>
        <w:t xml:space="preserve">Greenleaf, Robert K.: </w:t>
      </w:r>
      <w:r w:rsidRPr="001B6DD4">
        <w:rPr>
          <w:i/>
          <w:noProof/>
        </w:rPr>
        <w:t>Servant Leadership. A Journey into the Nature of Legitimate Power and Greatness</w:t>
      </w:r>
      <w:r w:rsidRPr="001B6DD4">
        <w:rPr>
          <w:noProof/>
        </w:rPr>
        <w:t xml:space="preserve">. Mahwah 1977 </w:t>
      </w:r>
      <w:bookmarkEnd w:id="39"/>
    </w:p>
    <w:p w14:paraId="136B3340" w14:textId="77777777" w:rsidR="00E53219" w:rsidRPr="001B6DD4" w:rsidRDefault="00E53219" w:rsidP="00C36158">
      <w:pPr>
        <w:spacing w:after="0" w:line="240" w:lineRule="auto"/>
        <w:ind w:left="284" w:hanging="284"/>
        <w:rPr>
          <w:b/>
          <w:noProof/>
        </w:rPr>
      </w:pPr>
      <w:bookmarkStart w:id="40" w:name="_ENREF_8"/>
      <w:r w:rsidRPr="001B6DD4">
        <w:rPr>
          <w:b/>
          <w:noProof/>
        </w:rPr>
        <w:t xml:space="preserve">Herbst, Michael: </w:t>
      </w:r>
      <w:r w:rsidRPr="001B6DD4">
        <w:rPr>
          <w:b/>
          <w:i/>
          <w:noProof/>
        </w:rPr>
        <w:t>Missionarischer Gemeindeaufbau in der Volkskirche</w:t>
      </w:r>
      <w:r w:rsidRPr="001B6DD4">
        <w:rPr>
          <w:b/>
          <w:noProof/>
        </w:rPr>
        <w:t xml:space="preserve">. Stuttgart 1987 </w:t>
      </w:r>
      <w:bookmarkEnd w:id="40"/>
    </w:p>
    <w:p w14:paraId="1299DD58" w14:textId="77777777" w:rsidR="00E53219" w:rsidRPr="001B6DD4" w:rsidRDefault="00E53219" w:rsidP="00C36158">
      <w:pPr>
        <w:spacing w:after="0" w:line="240" w:lineRule="auto"/>
        <w:ind w:left="284" w:hanging="284"/>
        <w:rPr>
          <w:noProof/>
        </w:rPr>
      </w:pPr>
      <w:bookmarkStart w:id="41" w:name="_ENREF_9"/>
      <w:r w:rsidRPr="001B6DD4">
        <w:rPr>
          <w:noProof/>
        </w:rPr>
        <w:t xml:space="preserve">---: </w:t>
      </w:r>
      <w:r w:rsidRPr="001B6DD4">
        <w:rPr>
          <w:i/>
          <w:noProof/>
        </w:rPr>
        <w:t>Pastorinnen und Pastoren - ein Leitbild für das 21. Jahrhundert</w:t>
      </w:r>
      <w:r w:rsidRPr="001B6DD4">
        <w:rPr>
          <w:noProof/>
        </w:rPr>
        <w:t xml:space="preserve">. In: Michael Herbst (Hg.): </w:t>
      </w:r>
      <w:r w:rsidRPr="001B6DD4">
        <w:rPr>
          <w:i/>
          <w:noProof/>
        </w:rPr>
        <w:t xml:space="preserve">Und sie dreht sich doch. Wie sich die Kirche im 21. Jahrhundert ändern muss und kann. </w:t>
      </w:r>
      <w:r w:rsidRPr="001B6DD4">
        <w:rPr>
          <w:noProof/>
        </w:rPr>
        <w:t xml:space="preserve">Asslar 2001, 35-68 </w:t>
      </w:r>
      <w:bookmarkEnd w:id="41"/>
    </w:p>
    <w:p w14:paraId="33CD2A33" w14:textId="77777777" w:rsidR="00E53219" w:rsidRPr="001B6DD4" w:rsidRDefault="00E53219" w:rsidP="00C36158">
      <w:pPr>
        <w:spacing w:after="0" w:line="240" w:lineRule="auto"/>
        <w:ind w:left="284" w:hanging="284"/>
        <w:rPr>
          <w:noProof/>
        </w:rPr>
      </w:pPr>
      <w:bookmarkStart w:id="42" w:name="_ENREF_10"/>
      <w:r w:rsidRPr="001B6DD4">
        <w:rPr>
          <w:noProof/>
        </w:rPr>
        <w:t xml:space="preserve">Hermelink, Jan:  </w:t>
      </w:r>
      <w:r w:rsidRPr="001B6DD4">
        <w:rPr>
          <w:i/>
          <w:noProof/>
        </w:rPr>
        <w:t>Pastorales Wirken im Spannungsfeld von Organisation, Person und "geistlicher" Darstellung. Aktuelle Tendenzen der Fremd- und Selbstwahrnehmung</w:t>
      </w:r>
      <w:r w:rsidRPr="001B6DD4">
        <w:rPr>
          <w:noProof/>
        </w:rPr>
        <w:t>. PTh 97 (2008), 384-403</w:t>
      </w:r>
      <w:bookmarkEnd w:id="42"/>
    </w:p>
    <w:p w14:paraId="60D8A6F7" w14:textId="77777777" w:rsidR="00E53219" w:rsidRPr="001B6DD4" w:rsidRDefault="00E53219" w:rsidP="00C36158">
      <w:pPr>
        <w:spacing w:after="0" w:line="240" w:lineRule="auto"/>
        <w:ind w:left="284" w:hanging="284"/>
        <w:rPr>
          <w:noProof/>
        </w:rPr>
      </w:pPr>
      <w:bookmarkStart w:id="43" w:name="_ENREF_11"/>
      <w:r w:rsidRPr="001B6DD4">
        <w:rPr>
          <w:noProof/>
        </w:rPr>
        <w:t xml:space="preserve">Hybels, Bill: </w:t>
      </w:r>
      <w:r w:rsidRPr="001B6DD4">
        <w:rPr>
          <w:i/>
          <w:noProof/>
        </w:rPr>
        <w:t>Courageous Leadership</w:t>
      </w:r>
      <w:r w:rsidRPr="001B6DD4">
        <w:rPr>
          <w:noProof/>
        </w:rPr>
        <w:t xml:space="preserve">. Grand Rapids, MI 2002 </w:t>
      </w:r>
      <w:bookmarkEnd w:id="43"/>
    </w:p>
    <w:p w14:paraId="728A33A9" w14:textId="77777777" w:rsidR="00E53219" w:rsidRPr="001B6DD4" w:rsidRDefault="00E53219" w:rsidP="00C36158">
      <w:pPr>
        <w:spacing w:after="0" w:line="240" w:lineRule="auto"/>
        <w:ind w:left="284" w:hanging="284"/>
        <w:rPr>
          <w:noProof/>
        </w:rPr>
      </w:pPr>
      <w:bookmarkStart w:id="44" w:name="_ENREF_12"/>
      <w:r w:rsidRPr="001B6DD4">
        <w:rPr>
          <w:noProof/>
        </w:rPr>
        <w:t xml:space="preserve">Jenkins, Philipp: </w:t>
      </w:r>
      <w:r w:rsidRPr="001B6DD4">
        <w:rPr>
          <w:i/>
          <w:noProof/>
        </w:rPr>
        <w:t>The Next Christendom</w:t>
      </w:r>
      <w:r w:rsidRPr="001B6DD4">
        <w:rPr>
          <w:noProof/>
        </w:rPr>
        <w:t xml:space="preserve">. Oxford 2. Aufl. 2007 </w:t>
      </w:r>
      <w:bookmarkEnd w:id="44"/>
    </w:p>
    <w:p w14:paraId="3AECC3BF" w14:textId="77777777" w:rsidR="00E53219" w:rsidRPr="001B6DD4" w:rsidRDefault="00E53219" w:rsidP="00C36158">
      <w:pPr>
        <w:spacing w:after="0" w:line="240" w:lineRule="auto"/>
        <w:ind w:left="284" w:hanging="284"/>
        <w:rPr>
          <w:noProof/>
        </w:rPr>
      </w:pPr>
      <w:bookmarkStart w:id="45" w:name="_ENREF_13"/>
      <w:r w:rsidRPr="001B6DD4">
        <w:rPr>
          <w:noProof/>
        </w:rPr>
        <w:t xml:space="preserve">Jüngel, Eberhard:  </w:t>
      </w:r>
      <w:r w:rsidRPr="001B6DD4">
        <w:rPr>
          <w:i/>
          <w:noProof/>
        </w:rPr>
        <w:t>Gott will mündige Christen. Allgemeines Priestertum - geordnetes Amt: Eine kurze reformatorische Erinnerung</w:t>
      </w:r>
      <w:r w:rsidRPr="001B6DD4">
        <w:rPr>
          <w:noProof/>
        </w:rPr>
        <w:t>. Zeitzeichen 4 (2005), 56-57</w:t>
      </w:r>
      <w:bookmarkEnd w:id="45"/>
    </w:p>
    <w:p w14:paraId="281E38DA" w14:textId="77777777" w:rsidR="00E53219" w:rsidRPr="001B6DD4" w:rsidRDefault="00E53219" w:rsidP="00C36158">
      <w:pPr>
        <w:spacing w:after="0" w:line="240" w:lineRule="auto"/>
        <w:ind w:left="284" w:hanging="284"/>
        <w:rPr>
          <w:noProof/>
        </w:rPr>
      </w:pPr>
      <w:bookmarkStart w:id="46" w:name="_ENREF_14"/>
      <w:r w:rsidRPr="001B6DD4">
        <w:rPr>
          <w:noProof/>
        </w:rPr>
        <w:t xml:space="preserve">Kähler, Reinhard:  </w:t>
      </w:r>
      <w:r w:rsidRPr="001B6DD4">
        <w:rPr>
          <w:i/>
          <w:noProof/>
        </w:rPr>
        <w:t>Gottes angestellte Kleinhändler. Der Pastorinnen und Pastoren Zukunft in Ostdeutschland</w:t>
      </w:r>
      <w:r w:rsidRPr="001B6DD4">
        <w:rPr>
          <w:noProof/>
        </w:rPr>
        <w:t>. PTh 93 (2004), 437-449</w:t>
      </w:r>
      <w:bookmarkEnd w:id="46"/>
    </w:p>
    <w:p w14:paraId="2A77BB18" w14:textId="77777777" w:rsidR="00E53219" w:rsidRPr="001B6DD4" w:rsidRDefault="00E53219" w:rsidP="00C36158">
      <w:pPr>
        <w:spacing w:after="0" w:line="240" w:lineRule="auto"/>
        <w:ind w:left="284" w:hanging="284"/>
        <w:rPr>
          <w:noProof/>
        </w:rPr>
      </w:pPr>
      <w:bookmarkStart w:id="47" w:name="_ENREF_15"/>
      <w:r w:rsidRPr="001B6DD4">
        <w:rPr>
          <w:noProof/>
        </w:rPr>
        <w:t xml:space="preserve">Karle, Isolde: </w:t>
      </w:r>
      <w:r w:rsidRPr="001B6DD4">
        <w:rPr>
          <w:i/>
          <w:noProof/>
        </w:rPr>
        <w:t>Kirche im Reformstress</w:t>
      </w:r>
      <w:r w:rsidRPr="001B6DD4">
        <w:rPr>
          <w:noProof/>
        </w:rPr>
        <w:t xml:space="preserve">. Gütersloh 2010 </w:t>
      </w:r>
      <w:bookmarkEnd w:id="47"/>
    </w:p>
    <w:p w14:paraId="4E514E87" w14:textId="77777777" w:rsidR="00E53219" w:rsidRPr="001B6DD4" w:rsidRDefault="00E53219" w:rsidP="00C36158">
      <w:pPr>
        <w:spacing w:after="0" w:line="240" w:lineRule="auto"/>
        <w:ind w:left="284" w:hanging="284"/>
        <w:rPr>
          <w:noProof/>
        </w:rPr>
      </w:pPr>
      <w:bookmarkStart w:id="48" w:name="_ENREF_26"/>
      <w:bookmarkStart w:id="49" w:name="_ENREF_16"/>
      <w:r w:rsidRPr="001B6DD4">
        <w:rPr>
          <w:noProof/>
        </w:rPr>
        <w:t xml:space="preserve">Kirchenleitung der VELKD (Hg.): </w:t>
      </w:r>
      <w:r w:rsidRPr="001B6DD4">
        <w:rPr>
          <w:i/>
          <w:noProof/>
        </w:rPr>
        <w:t>Ordination und Einsegnung, Einführungshandlungen, Einweihungshandlungen</w:t>
      </w:r>
      <w:r w:rsidRPr="001B6DD4">
        <w:rPr>
          <w:noProof/>
        </w:rPr>
        <w:t>. Hannover 2. bearbeitete Aufl. 1997 (Agende für evangelisch-lutherische Kirchen und Gemeinden Bd. 4)</w:t>
      </w:r>
      <w:bookmarkEnd w:id="48"/>
    </w:p>
    <w:p w14:paraId="203E5D79" w14:textId="77777777" w:rsidR="00E53219" w:rsidRPr="001B6DD4" w:rsidRDefault="00E53219" w:rsidP="00C36158">
      <w:pPr>
        <w:spacing w:after="0" w:line="240" w:lineRule="auto"/>
        <w:ind w:left="284" w:hanging="284"/>
        <w:rPr>
          <w:noProof/>
        </w:rPr>
      </w:pPr>
      <w:r w:rsidRPr="001B6DD4">
        <w:rPr>
          <w:noProof/>
        </w:rPr>
        <w:t xml:space="preserve">Malik, Fredmund: </w:t>
      </w:r>
      <w:r w:rsidRPr="001B6DD4">
        <w:rPr>
          <w:i/>
          <w:noProof/>
        </w:rPr>
        <w:t>Führen - Leisten - Leben. Wirksames Management für eine neue Zeit</w:t>
      </w:r>
      <w:r w:rsidRPr="001B6DD4">
        <w:rPr>
          <w:noProof/>
        </w:rPr>
        <w:t xml:space="preserve">. Stuttgart und München 14. Aufl. 2002 </w:t>
      </w:r>
      <w:bookmarkEnd w:id="49"/>
    </w:p>
    <w:p w14:paraId="1394A8ED" w14:textId="438D5EF6" w:rsidR="00E53219" w:rsidRPr="001B6DD4" w:rsidRDefault="00E53219" w:rsidP="00C36158">
      <w:pPr>
        <w:spacing w:after="0" w:line="240" w:lineRule="auto"/>
        <w:ind w:left="284" w:hanging="284"/>
        <w:rPr>
          <w:noProof/>
        </w:rPr>
      </w:pPr>
      <w:bookmarkStart w:id="50" w:name="_ENREF_18"/>
      <w:r w:rsidRPr="001B6DD4">
        <w:rPr>
          <w:noProof/>
        </w:rPr>
        <w:t xml:space="preserve">Raschzok, Klaus:  </w:t>
      </w:r>
      <w:r w:rsidRPr="001B6DD4">
        <w:rPr>
          <w:i/>
          <w:noProof/>
        </w:rPr>
        <w:t>Ordination als Berufung und Lebensarbeit. Zu einem vernachlässigten Aspekt geleb</w:t>
      </w:r>
      <w:r w:rsidR="00C1725E">
        <w:rPr>
          <w:i/>
          <w:noProof/>
        </w:rPr>
        <w:t>ter Spiritualität im Pfarrberuf</w:t>
      </w:r>
      <w:r w:rsidRPr="001B6DD4">
        <w:rPr>
          <w:noProof/>
        </w:rPr>
        <w:t>. ThBeitr 33 (2002), 138-154</w:t>
      </w:r>
      <w:bookmarkEnd w:id="50"/>
    </w:p>
    <w:p w14:paraId="492147E4" w14:textId="77777777" w:rsidR="00E53219" w:rsidRPr="001B6DD4" w:rsidRDefault="00E53219" w:rsidP="00C36158">
      <w:pPr>
        <w:spacing w:after="0" w:line="240" w:lineRule="auto"/>
        <w:ind w:left="284" w:hanging="284"/>
        <w:rPr>
          <w:noProof/>
        </w:rPr>
      </w:pPr>
      <w:bookmarkStart w:id="51" w:name="_ENREF_6"/>
      <w:bookmarkStart w:id="52" w:name="_ENREF_19"/>
      <w:r w:rsidRPr="001B6DD4">
        <w:rPr>
          <w:noProof/>
        </w:rPr>
        <w:t xml:space="preserve">Rat der EKU (Hg.): </w:t>
      </w:r>
      <w:r w:rsidRPr="001B6DD4">
        <w:rPr>
          <w:i/>
          <w:noProof/>
        </w:rPr>
        <w:t>Gottesdienstordnungen für Ordination, Einführung, Bevollmächtigung und Vorstellung</w:t>
      </w:r>
      <w:r w:rsidRPr="001B6DD4">
        <w:rPr>
          <w:noProof/>
        </w:rPr>
        <w:t>. Bielefeld 1979 (Agende für die evangelische Kirche der Union Bd. II/2)</w:t>
      </w:r>
      <w:bookmarkEnd w:id="51"/>
    </w:p>
    <w:p w14:paraId="1CCFCDB9" w14:textId="77777777" w:rsidR="00E53219" w:rsidRPr="001B6DD4" w:rsidRDefault="00E53219" w:rsidP="00C36158">
      <w:pPr>
        <w:spacing w:after="0" w:line="240" w:lineRule="auto"/>
        <w:ind w:left="284" w:hanging="284"/>
        <w:rPr>
          <w:noProof/>
        </w:rPr>
      </w:pPr>
      <w:r w:rsidRPr="001B6DD4">
        <w:rPr>
          <w:noProof/>
        </w:rPr>
        <w:t xml:space="preserve">Rieckmann, Heijo: </w:t>
      </w:r>
      <w:r w:rsidRPr="001B6DD4">
        <w:rPr>
          <w:i/>
          <w:noProof/>
        </w:rPr>
        <w:t>Der Organisationsalltag und seine Unterwelt: Der Schweinehund</w:t>
      </w:r>
      <w:r w:rsidRPr="001B6DD4">
        <w:rPr>
          <w:noProof/>
        </w:rPr>
        <w:t xml:space="preserve">. In: H. Geißler (Hg.): </w:t>
      </w:r>
      <w:r w:rsidRPr="001B6DD4">
        <w:rPr>
          <w:i/>
          <w:noProof/>
        </w:rPr>
        <w:t xml:space="preserve">Bldungsmanagement. </w:t>
      </w:r>
      <w:r w:rsidRPr="001B6DD4">
        <w:rPr>
          <w:noProof/>
        </w:rPr>
        <w:t xml:space="preserve">Frankfurt/M. 1994, 149-200 </w:t>
      </w:r>
      <w:bookmarkEnd w:id="52"/>
    </w:p>
    <w:p w14:paraId="6B13E827" w14:textId="77777777" w:rsidR="00E53219" w:rsidRPr="001B6DD4" w:rsidRDefault="00E53219" w:rsidP="00C36158">
      <w:pPr>
        <w:spacing w:after="0" w:line="240" w:lineRule="auto"/>
        <w:ind w:left="284" w:hanging="284"/>
        <w:rPr>
          <w:noProof/>
        </w:rPr>
      </w:pPr>
      <w:bookmarkStart w:id="53" w:name="_ENREF_20"/>
      <w:r w:rsidRPr="001B6DD4">
        <w:rPr>
          <w:noProof/>
        </w:rPr>
        <w:t xml:space="preserve">Schleiermacher, Friedrich Daniel Ernst: </w:t>
      </w:r>
      <w:r w:rsidRPr="001B6DD4">
        <w:rPr>
          <w:i/>
          <w:noProof/>
        </w:rPr>
        <w:t>Die praktische Theologie nach den Grundsätzen der evangelischen Kirche im Zusammenhange dargestellt. Aus Schleiermacher handschriftlichem Nachlasse und nachgeschriebenen Vorlesungen herausgegeben von Jacob Frerichs</w:t>
      </w:r>
      <w:r w:rsidRPr="001B6DD4">
        <w:rPr>
          <w:noProof/>
        </w:rPr>
        <w:t xml:space="preserve">. Berlin 1850 </w:t>
      </w:r>
      <w:bookmarkEnd w:id="53"/>
    </w:p>
    <w:p w14:paraId="75BE17FA" w14:textId="77777777" w:rsidR="00E53219" w:rsidRPr="001B6DD4" w:rsidRDefault="00E53219" w:rsidP="00C36158">
      <w:pPr>
        <w:spacing w:after="0" w:line="240" w:lineRule="auto"/>
        <w:ind w:left="284" w:hanging="284"/>
        <w:rPr>
          <w:noProof/>
        </w:rPr>
      </w:pPr>
      <w:bookmarkStart w:id="54" w:name="_ENREF_21"/>
      <w:r w:rsidRPr="001B6DD4">
        <w:rPr>
          <w:noProof/>
        </w:rPr>
        <w:t xml:space="preserve">Schneider, Nikolaus und Lehnert, Volker A.: </w:t>
      </w:r>
      <w:r w:rsidRPr="001B6DD4">
        <w:rPr>
          <w:i/>
          <w:noProof/>
        </w:rPr>
        <w:t>Berufen - wozu? Zur gegenwärtigen Diskussion um das Pfarrbild in der Evangelischen Kirche</w:t>
      </w:r>
      <w:r w:rsidRPr="001B6DD4">
        <w:rPr>
          <w:noProof/>
        </w:rPr>
        <w:t xml:space="preserve">. Neukirchen-Vluyn 2009 </w:t>
      </w:r>
      <w:bookmarkEnd w:id="54"/>
    </w:p>
    <w:p w14:paraId="18AABCBF" w14:textId="77777777" w:rsidR="00E53219" w:rsidRPr="001B6DD4" w:rsidRDefault="00E53219" w:rsidP="00C36158">
      <w:pPr>
        <w:spacing w:after="0" w:line="240" w:lineRule="auto"/>
        <w:ind w:left="284" w:hanging="284"/>
        <w:rPr>
          <w:noProof/>
        </w:rPr>
      </w:pPr>
      <w:bookmarkStart w:id="55" w:name="_ENREF_22"/>
      <w:r w:rsidRPr="001B6DD4">
        <w:rPr>
          <w:noProof/>
        </w:rPr>
        <w:t xml:space="preserve">Schneider-Flume, Gunda:  </w:t>
      </w:r>
      <w:r w:rsidRPr="001B6DD4">
        <w:rPr>
          <w:i/>
          <w:noProof/>
        </w:rPr>
        <w:t>Kirche und Theologie im Osten Deutschlands</w:t>
      </w:r>
      <w:r w:rsidRPr="001B6DD4">
        <w:rPr>
          <w:noProof/>
        </w:rPr>
        <w:t>. BThZ 20 (2003), 111-126</w:t>
      </w:r>
      <w:bookmarkEnd w:id="55"/>
    </w:p>
    <w:p w14:paraId="6917A6A7" w14:textId="77777777" w:rsidR="00E53219" w:rsidRPr="001B6DD4" w:rsidRDefault="00E53219" w:rsidP="00C36158">
      <w:pPr>
        <w:spacing w:after="0" w:line="240" w:lineRule="auto"/>
        <w:ind w:left="284" w:hanging="284"/>
        <w:rPr>
          <w:noProof/>
        </w:rPr>
      </w:pPr>
      <w:bookmarkStart w:id="56" w:name="_ENREF_23"/>
      <w:r w:rsidRPr="001B6DD4">
        <w:rPr>
          <w:noProof/>
        </w:rPr>
        <w:t xml:space="preserve">Schwarz, Fritz und Schwarz, Christian A.: </w:t>
      </w:r>
      <w:r w:rsidRPr="001B6DD4">
        <w:rPr>
          <w:i/>
          <w:noProof/>
        </w:rPr>
        <w:t>Theologie des Gemeindeaufbaus. Ein Versuch</w:t>
      </w:r>
      <w:r w:rsidRPr="001B6DD4">
        <w:rPr>
          <w:noProof/>
        </w:rPr>
        <w:t xml:space="preserve">. Neukirchen-Vluyn 1984 </w:t>
      </w:r>
      <w:bookmarkEnd w:id="56"/>
    </w:p>
    <w:p w14:paraId="4B614882" w14:textId="77777777" w:rsidR="00E53219" w:rsidRPr="001B6DD4" w:rsidRDefault="00E53219" w:rsidP="00C36158">
      <w:pPr>
        <w:spacing w:after="0" w:line="240" w:lineRule="auto"/>
        <w:ind w:left="284" w:hanging="284"/>
        <w:rPr>
          <w:noProof/>
        </w:rPr>
      </w:pPr>
      <w:bookmarkStart w:id="57" w:name="_ENREF_24"/>
      <w:r w:rsidRPr="001B6DD4">
        <w:rPr>
          <w:noProof/>
        </w:rPr>
        <w:t xml:space="preserve">Seitz, Manfred: </w:t>
      </w:r>
      <w:r w:rsidRPr="001B6DD4">
        <w:rPr>
          <w:i/>
          <w:noProof/>
        </w:rPr>
        <w:t>Pfarrer sein, zur Kirche gehören, sie nach außen vertretren und Gemeindeglied sein. Pastoraltheologische Erwägungen</w:t>
      </w:r>
      <w:r w:rsidRPr="001B6DD4">
        <w:rPr>
          <w:noProof/>
        </w:rPr>
        <w:t xml:space="preserve">. In: Rudolf Landau (Hg.): </w:t>
      </w:r>
      <w:r w:rsidRPr="001B6DD4">
        <w:rPr>
          <w:i/>
          <w:noProof/>
        </w:rPr>
        <w:t xml:space="preserve">Theologie für die Kirche. Beiträge zum christlichen Glauben, Leben und Handeln. </w:t>
      </w:r>
      <w:r w:rsidRPr="001B6DD4">
        <w:rPr>
          <w:noProof/>
        </w:rPr>
        <w:t xml:space="preserve">Stuttgart 2003, 112-122 </w:t>
      </w:r>
      <w:bookmarkEnd w:id="57"/>
    </w:p>
    <w:p w14:paraId="6E277605" w14:textId="77777777" w:rsidR="00E53219" w:rsidRPr="001B6DD4" w:rsidRDefault="00E53219" w:rsidP="00C36158">
      <w:pPr>
        <w:spacing w:after="0" w:line="240" w:lineRule="auto"/>
        <w:ind w:left="284" w:hanging="284"/>
        <w:rPr>
          <w:noProof/>
        </w:rPr>
      </w:pPr>
      <w:bookmarkStart w:id="58" w:name="_ENREF_27"/>
      <w:r w:rsidRPr="001B6DD4">
        <w:rPr>
          <w:noProof/>
        </w:rPr>
        <w:t xml:space="preserve">Wagner-Rau, Ulrike:  </w:t>
      </w:r>
      <w:r w:rsidRPr="001B6DD4">
        <w:rPr>
          <w:i/>
          <w:noProof/>
        </w:rPr>
        <w:t>Begrenzen und öffnen. Perspektiven für das Pfarramt in einer gastfreundlichen Kirche</w:t>
      </w:r>
      <w:r w:rsidRPr="001B6DD4">
        <w:rPr>
          <w:noProof/>
        </w:rPr>
        <w:t>. PTh 93 (2004), 450-465</w:t>
      </w:r>
      <w:bookmarkEnd w:id="58"/>
    </w:p>
    <w:p w14:paraId="7AE79300" w14:textId="77777777" w:rsidR="00E53219" w:rsidRPr="001B6DD4" w:rsidRDefault="00E53219" w:rsidP="00C36158">
      <w:pPr>
        <w:spacing w:after="0" w:line="240" w:lineRule="auto"/>
        <w:ind w:left="284" w:hanging="284"/>
        <w:rPr>
          <w:noProof/>
        </w:rPr>
      </w:pPr>
      <w:bookmarkStart w:id="59" w:name="_ENREF_28"/>
      <w:r w:rsidRPr="001B6DD4">
        <w:rPr>
          <w:noProof/>
        </w:rPr>
        <w:t xml:space="preserve">Wegner, Gerhard:  </w:t>
      </w:r>
      <w:r w:rsidRPr="001B6DD4">
        <w:rPr>
          <w:i/>
          <w:noProof/>
        </w:rPr>
        <w:t>Was ist geistliche Leitung? Zehn Vorschläge zur Verständigung über Führung in Kirche und Diakonie</w:t>
      </w:r>
      <w:r w:rsidRPr="001B6DD4">
        <w:rPr>
          <w:noProof/>
        </w:rPr>
        <w:t>. PTh 96 (2007), 185-200</w:t>
      </w:r>
      <w:bookmarkEnd w:id="59"/>
    </w:p>
    <w:p w14:paraId="2399ACF2" w14:textId="41FF989C" w:rsidR="00E31E59" w:rsidRPr="00334A9B" w:rsidRDefault="00E53219" w:rsidP="001B6DD4">
      <w:pPr>
        <w:spacing w:after="0" w:line="240" w:lineRule="auto"/>
        <w:ind w:left="284" w:hanging="284"/>
        <w:rPr>
          <w:lang w:eastAsia="de-DE"/>
        </w:rPr>
      </w:pPr>
      <w:bookmarkStart w:id="60" w:name="_ENREF_29"/>
      <w:r w:rsidRPr="001B6DD4">
        <w:rPr>
          <w:noProof/>
        </w:rPr>
        <w:t xml:space="preserve">Zippert, Thomas:  </w:t>
      </w:r>
      <w:r w:rsidRPr="001B6DD4">
        <w:rPr>
          <w:i/>
          <w:noProof/>
        </w:rPr>
        <w:t>Das Diakonenamt in einer Kirche wachsender Ungleichheit</w:t>
      </w:r>
      <w:r w:rsidRPr="001B6DD4">
        <w:rPr>
          <w:noProof/>
        </w:rPr>
        <w:t>. PTh 96 (2007), 291-309</w:t>
      </w:r>
      <w:bookmarkEnd w:id="60"/>
      <w:r w:rsidRPr="001B6DD4">
        <w:fldChar w:fldCharType="end"/>
      </w:r>
      <w:r w:rsidRPr="001B6DD4">
        <w:fldChar w:fldCharType="end"/>
      </w:r>
      <w:bookmarkStart w:id="61" w:name="OLE_LINK3"/>
      <w:bookmarkStart w:id="62" w:name="OLE_LINK4"/>
      <w:bookmarkEnd w:id="61"/>
      <w:bookmarkEnd w:id="62"/>
    </w:p>
    <w:sectPr w:rsidR="00E31E59" w:rsidRPr="00334A9B" w:rsidSect="0032199B">
      <w:headerReference w:type="default" r:id="rId25"/>
      <w:footerReference w:type="even" r:id="rId26"/>
      <w:footerReference w:type="default" r:id="rId27"/>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659AF" w14:textId="77777777" w:rsidR="00B83FFD" w:rsidRDefault="00B83FFD" w:rsidP="000D11E1">
      <w:pPr>
        <w:spacing w:after="0" w:line="240" w:lineRule="auto"/>
      </w:pPr>
      <w:r>
        <w:separator/>
      </w:r>
    </w:p>
  </w:endnote>
  <w:endnote w:type="continuationSeparator" w:id="0">
    <w:p w14:paraId="3993EA26" w14:textId="77777777" w:rsidR="00B83FFD" w:rsidRDefault="00B83FFD"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Myriad Pro">
    <w:altName w:val="Corbel"/>
    <w:charset w:val="00"/>
    <w:family w:val="auto"/>
    <w:pitch w:val="variable"/>
    <w:sig w:usb0="20000287" w:usb1="00000001" w:usb2="00000000" w:usb3="00000000" w:csb0="0000019F" w:csb1="00000000"/>
  </w:font>
  <w:font w:name="MinionPro-Regular">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55E48" w14:textId="77777777" w:rsidR="00B83FFD" w:rsidRDefault="00B83FFD"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C8EA8CC" w14:textId="77777777" w:rsidR="00B83FFD" w:rsidRDefault="00B83FFD"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A2B99" w14:textId="77777777" w:rsidR="00B83FFD" w:rsidRPr="00496B32" w:rsidRDefault="00B83FFD" w:rsidP="0022019D">
    <w:pPr>
      <w:pStyle w:val="Fuzeile"/>
      <w:ind w:right="360"/>
      <w:jc w:val="right"/>
      <w:rPr>
        <w:sz w:val="20"/>
        <w:szCs w:val="20"/>
      </w:rPr>
    </w:pPr>
    <w:r>
      <w:fldChar w:fldCharType="begin"/>
    </w:r>
    <w:r>
      <w:instrText xml:space="preserve"> PAGE  \* MERGEFORMAT </w:instrText>
    </w:r>
    <w:r>
      <w:fldChar w:fldCharType="separate"/>
    </w:r>
    <w:r w:rsidR="00F84CFB" w:rsidRPr="00F84CFB">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418D61E6" wp14:editId="67F17FA1">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0EE77BA1" w14:textId="433651C6" w:rsidR="00B83FFD" w:rsidRPr="00496B32" w:rsidRDefault="00B83FFD" w:rsidP="000D11E1">
    <w:pPr>
      <w:pStyle w:val="Fuzeile"/>
      <w:rPr>
        <w:sz w:val="16"/>
        <w:szCs w:val="16"/>
      </w:rPr>
    </w:pPr>
    <w:r>
      <w:rPr>
        <w:sz w:val="16"/>
        <w:szCs w:val="16"/>
      </w:rPr>
      <w:t>25. Januar 2013</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67146" w14:textId="77777777" w:rsidR="00B83FFD" w:rsidRDefault="00B83FFD" w:rsidP="000D11E1">
      <w:pPr>
        <w:spacing w:after="0" w:line="240" w:lineRule="auto"/>
      </w:pPr>
      <w:r>
        <w:separator/>
      </w:r>
    </w:p>
  </w:footnote>
  <w:footnote w:type="continuationSeparator" w:id="0">
    <w:p w14:paraId="0B46A517" w14:textId="77777777" w:rsidR="00B83FFD" w:rsidRDefault="00B83FFD" w:rsidP="000D11E1">
      <w:pPr>
        <w:spacing w:after="0" w:line="240" w:lineRule="auto"/>
      </w:pPr>
      <w:r>
        <w:continuationSeparator/>
      </w:r>
    </w:p>
  </w:footnote>
  <w:footnote w:id="1">
    <w:p w14:paraId="45770BC3" w14:textId="77777777" w:rsidR="00B83FFD" w:rsidRDefault="00B83FFD" w:rsidP="00E53219">
      <w:pPr>
        <w:pStyle w:val="Funotentext"/>
      </w:pPr>
      <w:r>
        <w:rPr>
          <w:rStyle w:val="Funotenzeichen"/>
        </w:rPr>
        <w:footnoteRef/>
      </w:r>
      <w:r>
        <w:t xml:space="preserve"> Vgl. vor allem </w:t>
      </w:r>
      <w:r>
        <w:fldChar w:fldCharType="begin"/>
      </w:r>
      <w:r>
        <w:instrText xml:space="preserve"> ADDIN EN.CITE &lt;EndNote&gt;&lt;Cite&gt;&lt;Author&gt;Herbst&lt;/Author&gt;&lt;Year&gt;1987&lt;/Year&gt;&lt;RecNum&gt;4&lt;/RecNum&gt;&lt;DisplayText&gt;Michael Herbst 1987&lt;/DisplayText&gt;&lt;record&gt;&lt;rec-number&gt;4&lt;/rec-number&gt;&lt;foreign-keys&gt;&lt;key app="EN" db-id="0t0dxv9vetdatmef0a959d9wdwf995aa9dxw"&gt;4&lt;/key&gt;&lt;/foreign-keys&gt;&lt;ref-type name="Book"&gt;6&lt;/ref-type&gt;&lt;contributors&gt;&lt;authors&gt;&lt;author&gt;Herbst, Michael&lt;/author&gt;&lt;/authors&gt;&lt;/contributors&gt;&lt;titles&gt;&lt;title&gt;Missionarischer Gemeindeaufbau in der Volkskirche&lt;/title&gt;&lt;/titles&gt;&lt;pages&gt;477 p.&lt;/pages&gt;&lt;keywords&gt;&lt;keyword&gt;Church.&lt;/keyword&gt;&lt;keyword&gt;Theology, Practical.&lt;/keyword&gt;&lt;/keywords&gt;&lt;dates&gt;&lt;year&gt;1987&lt;/year&gt;&lt;/dates&gt;&lt;pub-location&gt;Stuttgart&lt;/pub-location&gt;&lt;publisher&gt;Calwer&lt;/publisher&gt;&lt;isbn&gt;3766808311&lt;/isbn&gt;&lt;accession-num&gt;2442073&lt;/accession-num&gt;&lt;call-num&gt;Jefferson or Adams Building Reading Rooms BV600.2; .H398 1987&lt;/call-num&gt;&lt;urls&gt;&lt;/urls&gt;&lt;/record&gt;&lt;/Cite&gt;&lt;/EndNote&gt;</w:instrText>
      </w:r>
      <w:r>
        <w:fldChar w:fldCharType="separate"/>
      </w:r>
      <w:r>
        <w:rPr>
          <w:noProof/>
        </w:rPr>
        <w:t>Michael Herbst 1987</w:t>
      </w:r>
      <w:r>
        <w:fldChar w:fldCharType="end"/>
      </w:r>
      <w:r>
        <w:t>, 307-391.</w:t>
      </w:r>
    </w:p>
  </w:footnote>
  <w:footnote w:id="2">
    <w:p w14:paraId="030B126F" w14:textId="77777777" w:rsidR="00B83FFD" w:rsidRDefault="00B83FFD" w:rsidP="00E53219">
      <w:pPr>
        <w:pStyle w:val="Funotentext"/>
      </w:pPr>
      <w:r>
        <w:rPr>
          <w:rStyle w:val="Funotenzeichen"/>
        </w:rPr>
        <w:footnoteRef/>
      </w:r>
      <w:r>
        <w:t xml:space="preserve"> </w:t>
      </w:r>
      <w:r>
        <w:fldChar w:fldCharType="begin"/>
      </w:r>
      <w:r>
        <w:instrText xml:space="preserve"> ADDIN EN.CITE &lt;EndNote&gt;&lt;Cite&gt;&lt;Author&gt;Schwarz&lt;/Author&gt;&lt;Year&gt;1984&lt;/Year&gt;&lt;RecNum&gt;1024&lt;/RecNum&gt;&lt;DisplayText&gt;Fritz Schwarz und Christian A. Schwarz 1984&lt;/DisplayText&gt;&lt;record&gt;&lt;rec-number&gt;1024&lt;/rec-number&gt;&lt;foreign-keys&gt;&lt;key app="EN" db-id="0t0dxv9vetdatmef0a959d9wdwf995aa9dxw"&gt;1024&lt;/key&gt;&lt;/foreign-keys&gt;&lt;ref-type name="Book"&gt;6&lt;/ref-type&gt;&lt;contributors&gt;&lt;authors&gt;&lt;author&gt;Fritz Schwarz&lt;/author&gt;&lt;author&gt;Christian A. Schwarz&lt;/author&gt;&lt;/authors&gt;&lt;/contributors&gt;&lt;titles&gt;&lt;title&gt;Theologie des Gemeindeaufbaus. Ein Versuch&lt;/title&gt;&lt;/titles&gt;&lt;dates&gt;&lt;year&gt;1984&lt;/year&gt;&lt;/dates&gt;&lt;pub-location&gt;Neukirchen-Vluyn&lt;/pub-location&gt;&lt;urls&gt;&lt;/urls&gt;&lt;/record&gt;&lt;/Cite&gt;&lt;/EndNote&gt;</w:instrText>
      </w:r>
      <w:r>
        <w:fldChar w:fldCharType="separate"/>
      </w:r>
      <w:r>
        <w:rPr>
          <w:noProof/>
        </w:rPr>
        <w:t>Fritz Schwarz und Christian A. Schwarz 1984</w:t>
      </w:r>
      <w:r>
        <w:fldChar w:fldCharType="end"/>
      </w:r>
      <w:r>
        <w:t>, 34; vgl. zu diesem umstrittenen Thema auch ibid., 34-46.</w:t>
      </w:r>
    </w:p>
  </w:footnote>
  <w:footnote w:id="3">
    <w:p w14:paraId="139BDB9C" w14:textId="6A55176D" w:rsidR="00B83FFD" w:rsidRDefault="00B83FFD">
      <w:pPr>
        <w:pStyle w:val="Funotentext"/>
      </w:pPr>
      <w:r>
        <w:rPr>
          <w:rStyle w:val="Funotenzeichen"/>
        </w:rPr>
        <w:footnoteRef/>
      </w:r>
      <w:r>
        <w:t xml:space="preserve"> Vgl. Gal 3,1. Vgl. daneben Gal 1,6-10; 2,16; 3,28; 4,4-7; 5,6; 5,19-23; 6,10. </w:t>
      </w:r>
    </w:p>
  </w:footnote>
  <w:footnote w:id="4">
    <w:p w14:paraId="5ACEDC0D" w14:textId="77777777" w:rsidR="00B83FFD" w:rsidRPr="008B6AF8" w:rsidRDefault="00B83FFD" w:rsidP="00E53219">
      <w:pPr>
        <w:pStyle w:val="Funotentext"/>
      </w:pPr>
      <w:r w:rsidRPr="008B6AF8">
        <w:rPr>
          <w:rStyle w:val="Funotenzeichen"/>
        </w:rPr>
        <w:footnoteRef/>
      </w:r>
      <w:r>
        <w:t xml:space="preserve"> </w:t>
      </w:r>
      <w:r>
        <w:fldChar w:fldCharType="begin"/>
      </w:r>
      <w:r>
        <w:instrText xml:space="preserve"> ADDIN EN.CITE &lt;EndNote&gt;&lt;Cite&gt;&lt;Author&gt;Schneider-Flume&lt;/Author&gt;&lt;Year&gt;2003&lt;/Year&gt;&lt;RecNum&gt;1070&lt;/RecNum&gt;&lt;DisplayText&gt;Gunda Schneider-Flume 2003, &lt;/DisplayText&gt;&lt;record&gt;&lt;rec-number&gt;1070&lt;/rec-number&gt;&lt;foreign-keys&gt;&lt;key app="EN" db-id="0t0dxv9vetdatmef0a959d9wdwf995aa9dxw"&gt;1070&lt;/key&gt;&lt;/foreign-keys&gt;&lt;ref-type name="Journal Article"&gt;17&lt;/ref-type&gt;&lt;contributors&gt;&lt;authors&gt;&lt;author&gt;Gunda Schneider-Flume&lt;/author&gt;&lt;/authors&gt;&lt;/contributors&gt;&lt;titles&gt;&lt;title&gt;Kirche und Theologie im Osten Deutschlands&lt;/title&gt;&lt;secondary-title&gt;BThZ&lt;/secondary-title&gt;&lt;/titles&gt;&lt;periodical&gt;&lt;full-title&gt;BThZ&lt;/full-title&gt;&lt;/periodical&gt;&lt;pages&gt;111-126&lt;/pages&gt;&lt;volume&gt;20&lt;/volume&gt;&lt;dates&gt;&lt;year&gt;2003&lt;/year&gt;&lt;/dates&gt;&lt;urls&gt;&lt;/urls&gt;&lt;/record&gt;&lt;/Cite&gt;&lt;/EndNote&gt;</w:instrText>
      </w:r>
      <w:r>
        <w:fldChar w:fldCharType="separate"/>
      </w:r>
      <w:r>
        <w:rPr>
          <w:noProof/>
        </w:rPr>
        <w:t xml:space="preserve">Gunda Schneider-Flume 2003, </w:t>
      </w:r>
      <w:r>
        <w:fldChar w:fldCharType="end"/>
      </w:r>
      <w:r>
        <w:t xml:space="preserve">113. Sehr klar schreibt sie </w:t>
      </w:r>
      <w:r w:rsidRPr="008B6AF8">
        <w:t>etwas später</w:t>
      </w:r>
      <w:r>
        <w:t xml:space="preserve"> (</w:t>
      </w:r>
      <w:r w:rsidRPr="008B6AF8">
        <w:t>116): „Krisenbewusstsein auf Dauer, das zur Resignation führt, ist die Sünde der Kirche, die sich der Macht Gottes in der Krise verschließt.“</w:t>
      </w:r>
    </w:p>
  </w:footnote>
  <w:footnote w:id="5">
    <w:p w14:paraId="345FEBC2" w14:textId="3FE7EA60" w:rsidR="00B83FFD" w:rsidRDefault="00B83FFD" w:rsidP="0020257A">
      <w:pPr>
        <w:pStyle w:val="Funotentext"/>
      </w:pPr>
      <w:r>
        <w:rPr>
          <w:rStyle w:val="Funotenzeichen"/>
        </w:rPr>
        <w:footnoteRef/>
      </w:r>
      <w:r>
        <w:t xml:space="preserve"> Vgl. zu diesem Kapitel insgesamt </w:t>
      </w:r>
      <w:r>
        <w:fldChar w:fldCharType="begin"/>
      </w:r>
      <w:r>
        <w:instrText xml:space="preserve"> ADDIN EN.CITE &lt;EndNote&gt;&lt;Cite&gt;&lt;Author&gt;Böhlemann&lt;/Author&gt;&lt;Year&gt;2011&lt;/Year&gt;&lt;RecNum&gt;1032&lt;/RecNum&gt;&lt;DisplayText&gt;Peter Böhlemann und Michael Herbst 2011&lt;/DisplayText&gt;&lt;record&gt;&lt;rec-number&gt;1032&lt;/rec-number&gt;&lt;foreign-keys&gt;&lt;key app="EN" db-id="0t0dxv9vetdatmef0a959d9wdwf995aa9dxw"&gt;1032&lt;/key&gt;&lt;/foreign-keys&gt;&lt;ref-type name="Book"&gt;6&lt;/ref-type&gt;&lt;contributors&gt;&lt;authors&gt;&lt;author&gt;Peter Böhlemann&lt;/author&gt;&lt;author&gt;Michael Herbst&lt;/author&gt;&lt;/authors&gt;&lt;/contributors&gt;&lt;titles&gt;&lt;title&gt;Geistliche Leitung&lt;/title&gt;&lt;/titles&gt;&lt;dates&gt;&lt;year&gt;2011&lt;/year&gt;&lt;/dates&gt;&lt;pub-location&gt;Göttingen&lt;/pub-location&gt;&lt;urls&gt;&lt;/urls&gt;&lt;/record&gt;&lt;/Cite&gt;&lt;/EndNote&gt;</w:instrText>
      </w:r>
      <w:r>
        <w:fldChar w:fldCharType="separate"/>
      </w:r>
      <w:r>
        <w:rPr>
          <w:noProof/>
        </w:rPr>
        <w:t>Peter Böhlemann und Michael Herbst 2011</w:t>
      </w:r>
      <w:r>
        <w:fldChar w:fldCharType="end"/>
      </w:r>
      <w:r>
        <w:t>.</w:t>
      </w:r>
    </w:p>
  </w:footnote>
  <w:footnote w:id="6">
    <w:p w14:paraId="507D4CBA" w14:textId="77777777" w:rsidR="00B83FFD" w:rsidRDefault="00B83FFD" w:rsidP="000E350E">
      <w:pPr>
        <w:pStyle w:val="Funotentext"/>
      </w:pPr>
      <w:r>
        <w:rPr>
          <w:rStyle w:val="Funotenzeichen"/>
        </w:rPr>
        <w:footnoteRef/>
      </w:r>
      <w:r>
        <w:t xml:space="preserve"> Die folgenden Überlegungen finden sich bei </w:t>
      </w:r>
      <w:r>
        <w:fldChar w:fldCharType="begin"/>
      </w:r>
      <w:r>
        <w:instrText xml:space="preserve"> ADDIN EN.CITE &lt;EndNote&gt;&lt;Cite&gt;&lt;Author&gt;Wegner&lt;/Author&gt;&lt;Year&gt;2007&lt;/Year&gt;&lt;RecNum&gt;1350&lt;/RecNum&gt;&lt;DisplayText&gt;Gerhard Wegner 2007, &lt;/DisplayText&gt;&lt;record&gt;&lt;rec-number&gt;1350&lt;/rec-number&gt;&lt;foreign-keys&gt;&lt;key app="EN" db-id="0t0dxv9vetdatmef0a959d9wdwf995aa9dxw"&gt;1350&lt;/key&gt;&lt;/foreign-keys&gt;&lt;ref-type name="Journal Article"&gt;17&lt;/ref-type&gt;&lt;contributors&gt;&lt;authors&gt;&lt;author&gt;Gerhard Wegner&lt;/author&gt;&lt;/authors&gt;&lt;/contributors&gt;&lt;titles&gt;&lt;title&gt;Was ist geistliche Leitung? Zehn Vorschläge zur Verständigung über Führung in Kirche und Diakonie&lt;/title&gt;&lt;secondary-title&gt;PTh&lt;/secondary-title&gt;&lt;/titles&gt;&lt;periodical&gt;&lt;full-title&gt;PTh&lt;/full-title&gt;&lt;/periodical&gt;&lt;pages&gt;185-200&lt;/pages&gt;&lt;volume&gt;96&lt;/volume&gt;&lt;dates&gt;&lt;year&gt;2007&lt;/year&gt;&lt;/dates&gt;&lt;urls&gt;&lt;/urls&gt;&lt;/record&gt;&lt;/Cite&gt;&lt;/EndNote&gt;</w:instrText>
      </w:r>
      <w:r>
        <w:fldChar w:fldCharType="separate"/>
      </w:r>
      <w:r>
        <w:rPr>
          <w:noProof/>
        </w:rPr>
        <w:t xml:space="preserve">Gerhard Wegner 2007, </w:t>
      </w:r>
      <w:r>
        <w:fldChar w:fldCharType="end"/>
      </w:r>
      <w:r>
        <w:t>185-200.</w:t>
      </w:r>
    </w:p>
  </w:footnote>
  <w:footnote w:id="7">
    <w:p w14:paraId="3DBFF059" w14:textId="77777777" w:rsidR="00B83FFD" w:rsidRDefault="00B83FFD" w:rsidP="00450E80">
      <w:pPr>
        <w:pStyle w:val="Funotentext"/>
      </w:pPr>
      <w:r>
        <w:rPr>
          <w:rStyle w:val="Funotenzeichen"/>
        </w:rPr>
        <w:footnoteRef/>
      </w:r>
      <w:r>
        <w:t xml:space="preserve"> Vgl. </w:t>
      </w:r>
      <w:r>
        <w:fldChar w:fldCharType="begin"/>
      </w:r>
      <w:r>
        <w:instrText xml:space="preserve"> ADDIN EN.CITE &lt;EndNote&gt;&lt;Cite&gt;&lt;Author&gt;Greenleaf&lt;/Author&gt;&lt;Year&gt;1977&lt;/Year&gt;&lt;RecNum&gt;755&lt;/RecNum&gt;&lt;DisplayText&gt;Robert K. Greenleaf 1977&lt;/DisplayText&gt;&lt;record&gt;&lt;rec-number&gt;755&lt;/rec-number&gt;&lt;foreign-keys&gt;&lt;key app="EN" db-id="0t0dxv9vetdatmef0a959d9wdwf995aa9dxw"&gt;755&lt;/key&gt;&lt;/foreign-keys&gt;&lt;ref-type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Robert K. Greenleaf 1977</w:t>
      </w:r>
      <w:r>
        <w:fldChar w:fldCharType="end"/>
      </w:r>
      <w:r>
        <w:t>.</w:t>
      </w:r>
    </w:p>
  </w:footnote>
  <w:footnote w:id="8">
    <w:p w14:paraId="0F6D79FA" w14:textId="1580E470" w:rsidR="00B83FFD" w:rsidRDefault="00B83FFD" w:rsidP="00CE5C8C">
      <w:pPr>
        <w:pStyle w:val="Funotentext"/>
      </w:pPr>
      <w:r>
        <w:rPr>
          <w:rStyle w:val="Funotenzeichen"/>
        </w:rPr>
        <w:footnoteRef/>
      </w:r>
      <w:r>
        <w:t xml:space="preserve"> </w:t>
      </w:r>
      <w:r>
        <w:fldChar w:fldCharType="begin"/>
      </w:r>
      <w:r>
        <w:instrText xml:space="preserve"> ADDIN EN.CITE &lt;EndNote&gt;&lt;Cite&gt;&lt;Author&gt;Greenleaf&lt;/Author&gt;&lt;Year&gt;1977&lt;/Year&gt;&lt;RecNum&gt;755&lt;/RecNum&gt;&lt;DisplayText&gt;ibid.&lt;/DisplayText&gt;&lt;record&gt;&lt;rec-number&gt;755&lt;/rec-number&gt;&lt;foreign-keys&gt;&lt;key app="EN" db-id="0t0dxv9vetdatmef0a959d9wdwf995aa9dxw"&gt;755&lt;/key&gt;&lt;/foreign-keys&gt;&lt;ref-type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Ibid.</w:t>
      </w:r>
      <w:r>
        <w:fldChar w:fldCharType="end"/>
      </w:r>
      <w:r>
        <w:t>, 27. Übersetzung M. Herbst.</w:t>
      </w:r>
    </w:p>
  </w:footnote>
  <w:footnote w:id="9">
    <w:p w14:paraId="64015EB7" w14:textId="77777777" w:rsidR="00B83FFD" w:rsidRDefault="00B83FFD" w:rsidP="00E53219">
      <w:pPr>
        <w:pStyle w:val="Funotentext"/>
      </w:pPr>
      <w:r>
        <w:rPr>
          <w:rStyle w:val="Funotenzeichen"/>
        </w:rPr>
        <w:footnoteRef/>
      </w:r>
      <w:r>
        <w:t xml:space="preserve"> </w:t>
      </w:r>
      <w:r>
        <w:fldChar w:fldCharType="begin"/>
      </w:r>
      <w:r>
        <w:instrText xml:space="preserve"> ADDIN EN.CITE &lt;EndNote&gt;&lt;Cite&gt;&lt;Author&gt;Greenleaf&lt;/Author&gt;&lt;Year&gt;1977&lt;/Year&gt;&lt;RecNum&gt;755&lt;/RecNum&gt;&lt;DisplayText&gt;Ibid.&lt;/DisplayText&gt;&lt;record&gt;&lt;rec-number&gt;755&lt;/rec-number&gt;&lt;foreign-keys&gt;&lt;key app="EN" db-id="0t0dxv9vetdatmef0a959d9wdwf995aa9dxw"&gt;755&lt;/key&gt;&lt;/foreign-keys&gt;&lt;ref-type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Ibid.</w:t>
      </w:r>
      <w:r>
        <w:fldChar w:fldCharType="end"/>
      </w:r>
      <w:r>
        <w:t>, 53; vgl. insgesamt 53f. Übersetzung M. Herbst.</w:t>
      </w:r>
    </w:p>
  </w:footnote>
  <w:footnote w:id="10">
    <w:p w14:paraId="7F82C453" w14:textId="77777777" w:rsidR="00B83FFD" w:rsidRDefault="00B83FFD" w:rsidP="00EF114F">
      <w:pPr>
        <w:pStyle w:val="Funotentext"/>
      </w:pPr>
      <w:r>
        <w:rPr>
          <w:rStyle w:val="Funotenzeichen"/>
        </w:rPr>
        <w:footnoteRef/>
      </w:r>
      <w:r>
        <w:t xml:space="preserve"> Vgl. zu diesem Abschnitt </w:t>
      </w:r>
      <w:r>
        <w:fldChar w:fldCharType="begin"/>
      </w:r>
      <w:r>
        <w:instrText xml:space="preserve"> ADDIN EN.CITE &lt;EndNote&gt;&lt;Cite&gt;&lt;Author&gt;Rieckmann&lt;/Author&gt;&lt;Year&gt;1994&lt;/Year&gt;&lt;RecNum&gt;759&lt;/RecNum&gt;&lt;DisplayText&gt;Heijo Rieckmann 1994, &lt;/DisplayText&gt;&lt;record&gt;&lt;rec-number&gt;759&lt;/rec-number&gt;&lt;foreign-keys&gt;&lt;key app="EN" db-id="0t0dxv9vetdatmef0a959d9wdwf995aa9dxw"&gt;759&lt;/key&gt;&lt;/foreign-keys&gt;&lt;ref-type name="Book Section"&gt;5&lt;/ref-type&gt;&lt;contributors&gt;&lt;authors&gt;&lt;author&gt;Heijo Rieckmann&lt;/author&gt;&lt;/authors&gt;&lt;secondary-authors&gt;&lt;author&gt;H. Geißler&lt;/author&gt;&lt;/secondary-authors&gt;&lt;/contributors&gt;&lt;titles&gt;&lt;title&gt;Der Organisationsalltag und seine Unterwelt: Der Schweinehund&lt;/title&gt;&lt;secondary-title&gt;Bldungsmanagement&lt;/secondary-title&gt;&lt;/titles&gt;&lt;pages&gt;149-200&lt;/pages&gt;&lt;volume&gt;Bd. 5&lt;/volume&gt;&lt;dates&gt;&lt;year&gt;1994&lt;/year&gt;&lt;/dates&gt;&lt;pub-location&gt;Frankfurt/M.&lt;/pub-location&gt;&lt;urls&gt;&lt;/urls&gt;&lt;/record&gt;&lt;/Cite&gt;&lt;/EndNote&gt;</w:instrText>
      </w:r>
      <w:r>
        <w:fldChar w:fldCharType="separate"/>
      </w:r>
      <w:r>
        <w:rPr>
          <w:noProof/>
        </w:rPr>
        <w:t xml:space="preserve">Heijo Rieckmann 1994, </w:t>
      </w:r>
      <w:r>
        <w:fldChar w:fldCharType="end"/>
      </w:r>
      <w:r>
        <w:t>149-200.</w:t>
      </w:r>
    </w:p>
  </w:footnote>
  <w:footnote w:id="11">
    <w:p w14:paraId="2829E46A" w14:textId="77777777" w:rsidR="00B83FFD" w:rsidRDefault="00B83FFD" w:rsidP="00E53219">
      <w:pPr>
        <w:pStyle w:val="Funotentext"/>
      </w:pPr>
      <w:r>
        <w:rPr>
          <w:rStyle w:val="Funotenzeichen"/>
        </w:rPr>
        <w:footnoteRef/>
      </w:r>
      <w:r>
        <w:t xml:space="preserve"> Vgl. </w:t>
      </w:r>
      <w:r>
        <w:fldChar w:fldCharType="begin"/>
      </w:r>
      <w:r>
        <w:instrText xml:space="preserve"> ADDIN EN.CITE &lt;EndNote&gt;&lt;Cite&gt;&lt;Author&gt;Hybels&lt;/Author&gt;&lt;Year&gt;2002&lt;/Year&gt;&lt;RecNum&gt;1659&lt;/RecNum&gt;&lt;DisplayText&gt;Bill Hybels 2002&lt;/DisplayText&gt;&lt;record&gt;&lt;rec-number&gt;1659&lt;/rec-number&gt;&lt;foreign-keys&gt;&lt;key app="EN" db-id="0t0dxv9vetdatmef0a959d9wdwf995aa9dxw"&gt;1659&lt;/key&gt;&lt;/foreign-keys&gt;&lt;ref-type name="Book"&gt;6&lt;/ref-type&gt;&lt;contributors&gt;&lt;authors&gt;&lt;author&gt;Bill Hybels&lt;/author&gt;&lt;/authors&gt;&lt;/contributors&gt;&lt;titles&gt;&lt;title&gt;Courageous Leadership&lt;/title&gt;&lt;/titles&gt;&lt;dates&gt;&lt;year&gt;2002&lt;/year&gt;&lt;/dates&gt;&lt;pub-location&gt;Grand Rapids, MI&lt;/pub-location&gt;&lt;urls&gt;&lt;/urls&gt;&lt;/record&gt;&lt;/Cite&gt;&lt;/EndNote&gt;</w:instrText>
      </w:r>
      <w:r>
        <w:fldChar w:fldCharType="separate"/>
      </w:r>
      <w:r>
        <w:rPr>
          <w:noProof/>
        </w:rPr>
        <w:t>Bill Hybels 2002</w:t>
      </w:r>
      <w:r>
        <w:fldChar w:fldCharType="end"/>
      </w:r>
      <w:r>
        <w:t>, 185-197.</w:t>
      </w:r>
    </w:p>
  </w:footnote>
  <w:footnote w:id="12">
    <w:p w14:paraId="6A2C8E79" w14:textId="77777777" w:rsidR="00B83FFD" w:rsidRDefault="00B83FFD" w:rsidP="00E53219">
      <w:pPr>
        <w:pStyle w:val="Funotentext"/>
      </w:pPr>
      <w:r>
        <w:rPr>
          <w:rStyle w:val="Funotenzeichen"/>
        </w:rPr>
        <w:footnoteRef/>
      </w:r>
      <w:r>
        <w:t xml:space="preserve"> </w:t>
      </w:r>
      <w:r>
        <w:fldChar w:fldCharType="begin"/>
      </w:r>
      <w:r>
        <w:instrText xml:space="preserve"> ADDIN EN.CITE &lt;EndNote&gt;&lt;Cite&gt;&lt;Author&gt;Hybels&lt;/Author&gt;&lt;Year&gt;2002&lt;/Year&gt;&lt;RecNum&gt;1659&lt;/RecNum&gt;&lt;DisplayText&gt;Ibid.&lt;/DisplayText&gt;&lt;record&gt;&lt;rec-number&gt;1659&lt;/rec-number&gt;&lt;foreign-keys&gt;&lt;key app="EN" db-id="0t0dxv9vetdatmef0a959d9wdwf995aa9dxw"&gt;1659&lt;/key&gt;&lt;/foreign-keys&gt;&lt;ref-type name="Book"&gt;6&lt;/ref-type&gt;&lt;contributors&gt;&lt;authors&gt;&lt;author&gt;Bill Hybels&lt;/author&gt;&lt;/authors&gt;&lt;/contributors&gt;&lt;titles&gt;&lt;title&gt;Courageous Leadership&lt;/title&gt;&lt;/titles&gt;&lt;dates&gt;&lt;year&gt;2002&lt;/year&gt;&lt;/dates&gt;&lt;pub-location&gt;Grand Rapids, MI&lt;/pub-location&gt;&lt;urls&gt;&lt;/urls&gt;&lt;/record&gt;&lt;/Cite&gt;&lt;/EndNote&gt;</w:instrText>
      </w:r>
      <w:r>
        <w:fldChar w:fldCharType="separate"/>
      </w:r>
      <w:r>
        <w:rPr>
          <w:noProof/>
        </w:rPr>
        <w:t>Ibid.</w:t>
      </w:r>
      <w:r>
        <w:fldChar w:fldCharType="end"/>
      </w:r>
      <w:r>
        <w:t>, 192.</w:t>
      </w:r>
    </w:p>
  </w:footnote>
  <w:footnote w:id="13">
    <w:p w14:paraId="0D3E2FC7" w14:textId="77777777" w:rsidR="00B83FFD" w:rsidRDefault="00B83FFD" w:rsidP="00E96E15">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xml:space="preserve">, 63. Dass der Zwang zur Selbstoptimierung depressiv machen kann, bemerkt auch in einem ähnlichen Zusammenhang </w:t>
      </w:r>
      <w:r>
        <w:fldChar w:fldCharType="begin"/>
      </w:r>
      <w:r>
        <w:instrText xml:space="preserve"> ADDIN EN.CITE &lt;EndNote&gt;&lt;Cite&gt;&lt;Author&gt;Karle&lt;/Author&gt;&lt;Year&gt;2010&lt;/Year&gt;&lt;RecNum&gt;1394&lt;/RecNum&gt;&lt;DisplayText&gt;Isolde Karle 2010&lt;/DisplayText&gt;&lt;record&gt;&lt;rec-number&gt;1394&lt;/rec-number&gt;&lt;foreign-keys&gt;&lt;key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Isolde Karle 2010</w:t>
      </w:r>
      <w:r>
        <w:fldChar w:fldCharType="end"/>
      </w:r>
      <w:r>
        <w:t>, 209.</w:t>
      </w:r>
    </w:p>
  </w:footnote>
  <w:footnote w:id="14">
    <w:p w14:paraId="06206ABE" w14:textId="77777777" w:rsidR="00B83FFD" w:rsidRDefault="00B83FFD" w:rsidP="00E53219">
      <w:pPr>
        <w:pStyle w:val="Funotentext"/>
      </w:pPr>
      <w:r>
        <w:rPr>
          <w:rStyle w:val="Funotenzeichen"/>
        </w:rPr>
        <w:footnoteRef/>
      </w:r>
      <w:r>
        <w:t xml:space="preserve"> Vgl. </w:t>
      </w:r>
      <w:r>
        <w:fldChar w:fldCharType="begin"/>
      </w:r>
      <w:r>
        <w:instrText xml:space="preserve"> ADDIN EN.CITE &lt;EndNote&gt;&lt;Cite&gt;&lt;Author&gt;Böhlemann&lt;/Author&gt;&lt;Year&gt;2006&lt;/Year&gt;&lt;RecNum&gt;729&lt;/RecNum&gt;&lt;DisplayText&gt;Peter Böhlemann 2006&lt;/DisplayText&gt;&lt;record&gt;&lt;rec-number&gt;729&lt;/rec-number&gt;&lt;foreign-keys&gt;&lt;key app="EN" db-id="25ftwdtwr29az8e25favrf0hezssp0svdrve"&gt;729&lt;/key&gt;&lt;/foreign-keys&gt;&lt;ref-type name="Book"&gt;6&lt;/ref-type&gt;&lt;contributors&gt;&lt;authors&gt;&lt;author&gt;Peter Böhlemann&lt;/author&gt;&lt;/authors&gt;&lt;/contributors&gt;&lt;titles&gt;&lt;title&gt;Wie die Kirche wachsen kann und was sie davon abhält&lt;/title&gt;&lt;/titles&gt;&lt;dates&gt;&lt;year&gt;2006&lt;/year&gt;&lt;/dates&gt;&lt;pub-location&gt;Göttingen&lt;/pub-location&gt;&lt;urls&gt;&lt;/urls&gt;&lt;/record&gt;&lt;/Cite&gt;&lt;/EndNote&gt;</w:instrText>
      </w:r>
      <w:r>
        <w:fldChar w:fldCharType="separate"/>
      </w:r>
      <w:r>
        <w:rPr>
          <w:noProof/>
        </w:rPr>
        <w:t>Peter Böhlemann 2006</w:t>
      </w:r>
      <w:r>
        <w:fldChar w:fldCharType="end"/>
      </w:r>
      <w:r>
        <w:t>, 35.</w:t>
      </w:r>
    </w:p>
  </w:footnote>
  <w:footnote w:id="15">
    <w:p w14:paraId="24ABAD14" w14:textId="77777777" w:rsidR="00B83FFD" w:rsidRDefault="00B83FFD" w:rsidP="00E53219">
      <w:pPr>
        <w:pStyle w:val="Funotentext"/>
      </w:pPr>
      <w:r>
        <w:rPr>
          <w:rStyle w:val="Funotenzeichen"/>
        </w:rPr>
        <w:footnoteRef/>
      </w:r>
      <w:r>
        <w:t xml:space="preserve"> Mündlich überliefert.</w:t>
      </w:r>
    </w:p>
  </w:footnote>
  <w:footnote w:id="16">
    <w:p w14:paraId="26DC5C70" w14:textId="77777777" w:rsidR="00B83FFD" w:rsidRPr="00524D4B" w:rsidRDefault="00B83FFD" w:rsidP="005420CC">
      <w:pPr>
        <w:pStyle w:val="Funotentext"/>
      </w:pPr>
      <w:r>
        <w:rPr>
          <w:rStyle w:val="Funotenzeichen"/>
        </w:rPr>
        <w:footnoteRef/>
      </w:r>
      <w:r w:rsidRPr="00524D4B">
        <w:t xml:space="preserve"> </w:t>
      </w:r>
      <w:r w:rsidRPr="009C3140">
        <w:t>Empfehlung der Bischofskonferenz der VELKD vom 15.</w:t>
      </w:r>
      <w:r>
        <w:t>/16. Oktober 2004: „Die gelegentlich anzutreffende Auffassung, dass durch Ordination übertragene Amt stehe der Gemeinde gegenüber, ist hingegen unrichtig. Auf dem Hintergrund des evangelischen Verständnisses von Wort und Sakrament, Kirche und Amt ist vielmehr festzuhalten, dass es die Aufgabe des durch Ordination übertragenen Amtes ist, das Gegenüber von Wort und Sakrament nicht nur zur Welt, sondern auch zur Gemeinde dauerhaft und umfassend zur Geltung zu bringen. Folglich ist nicht das Amt, sondern nur das Wort Gottes das Gegenüber zur Gemeinde. Wohl aber hat das Amt auf dieses Gegenüber zu verweisen.“</w:t>
      </w:r>
    </w:p>
  </w:footnote>
  <w:footnote w:id="17">
    <w:p w14:paraId="3BBE5C25" w14:textId="77777777" w:rsidR="00B83FFD" w:rsidRDefault="00B83FFD" w:rsidP="00E53219">
      <w:pPr>
        <w:pStyle w:val="Funotentext"/>
      </w:pPr>
      <w:r>
        <w:rPr>
          <w:rStyle w:val="Funotenzeichen"/>
        </w:rPr>
        <w:footnoteRef/>
      </w:r>
      <w:r>
        <w:t xml:space="preserve"> </w:t>
      </w:r>
      <w:r>
        <w:fldChar w:fldCharType="begin"/>
      </w:r>
      <w:r>
        <w:instrText xml:space="preserve"> ADDIN EN.CITE &lt;EndNote&gt;&lt;Cite&gt;&lt;Author&gt;EKU&lt;/Author&gt;&lt;Year&gt;1979&lt;/Year&gt;&lt;RecNum&gt;1431&lt;/RecNum&gt;&lt;DisplayText&gt;Der Rat der EKU, 1979&lt;/DisplayText&gt;&lt;record&gt;&lt;rec-number&gt;1431&lt;/rec-number&gt;&lt;foreign-keys&gt;&lt;key app="EN" db-id="0t0dxv9vetdatmef0a959d9wdwf995aa9dxw"&gt;1431&lt;/key&gt;&lt;/foreign-keys&gt;&lt;ref-type name="Edited Book"&gt;28&lt;/ref-type&gt;&lt;contributors&gt;&lt;authors&gt;&lt;author&gt;Der Rat der EKU&lt;/author&gt;&lt;/authors&gt;&lt;/contributors&gt;&lt;titles&gt;&lt;title&gt;Gottesdienstordnungen für Ordination, Einführung, Bevollmächtigung und Vorstellung&lt;/title&gt;&lt;secondary-title&gt;Agende für die evangelische Kirche der Union&lt;/secondary-title&gt;&lt;/titles&gt;&lt;number&gt;Bd. II/2&lt;/number&gt;&lt;dates&gt;&lt;year&gt;1979&lt;/year&gt;&lt;/dates&gt;&lt;pub-location&gt;Bielefeld&lt;/pub-location&gt;&lt;urls&gt;&lt;/urls&gt;&lt;/record&gt;&lt;/Cite&gt;&lt;/EndNote&gt;</w:instrText>
      </w:r>
      <w:r>
        <w:fldChar w:fldCharType="separate"/>
      </w:r>
      <w:r>
        <w:rPr>
          <w:noProof/>
        </w:rPr>
        <w:t>Der Rat der EKU, 1979</w:t>
      </w:r>
      <w:r>
        <w:fldChar w:fldCharType="end"/>
      </w:r>
      <w:r>
        <w:t xml:space="preserve">, 19. Vgl. auch </w:t>
      </w:r>
      <w:r>
        <w:fldChar w:fldCharType="begin"/>
      </w:r>
      <w:r>
        <w:instrText xml:space="preserve"> ADDIN EN.CITE &lt;EndNote&gt;&lt;Cite&gt;&lt;Author&gt;VELKD&lt;/Author&gt;&lt;Year&gt;1997&lt;/Year&gt;&lt;RecNum&gt;1432&lt;/RecNum&gt;&lt;DisplayText&gt;Kirchenleitung der VELKD, 1997&lt;/DisplayText&gt;&lt;record&gt;&lt;rec-number&gt;1432&lt;/rec-number&gt;&lt;foreign-keys&gt;&lt;key app="EN" db-id="0t0dxv9vetdatmef0a959d9wdwf995aa9dxw"&gt;1432&lt;/key&gt;&lt;/foreign-keys&gt;&lt;ref-type name="Edited Book"&gt;28&lt;/ref-type&gt;&lt;contributors&gt;&lt;authors&gt;&lt;author&gt;Kirchenleitung der VELKD&lt;/author&gt;&lt;/authors&gt;&lt;/contributors&gt;&lt;titles&gt;&lt;title&gt;Ordination und Einsegnung, Einführungshandlungen, Einweihungshandlungen&lt;/title&gt;&lt;secondary-title&gt;Agende für evangelisch-lutherische Kirchen und Gemeinden&lt;/secondary-title&gt;&lt;/titles&gt;&lt;number&gt;Bd. 4&lt;/number&gt;&lt;edition&gt;2. bearbeitete Aufl.&lt;/edition&gt;&lt;dates&gt;&lt;year&gt;1997&lt;/year&gt;&lt;/dates&gt;&lt;pub-location&gt;Hannover&lt;/pub-location&gt;&lt;urls&gt;&lt;/urls&gt;&lt;/record&gt;&lt;/Cite&gt;&lt;/EndNote&gt;</w:instrText>
      </w:r>
      <w:r>
        <w:fldChar w:fldCharType="separate"/>
      </w:r>
      <w:r>
        <w:rPr>
          <w:noProof/>
        </w:rPr>
        <w:t>Kirchenleitung der VELKD, 1997</w:t>
      </w:r>
      <w:r>
        <w:fldChar w:fldCharType="end"/>
      </w:r>
      <w:r>
        <w:t>.</w:t>
      </w:r>
    </w:p>
  </w:footnote>
  <w:footnote w:id="18">
    <w:p w14:paraId="2F602CDA" w14:textId="77777777" w:rsidR="00B83FFD" w:rsidRDefault="00B83FFD" w:rsidP="00C3029D">
      <w:pPr>
        <w:pStyle w:val="Funotentext"/>
      </w:pPr>
      <w:r>
        <w:rPr>
          <w:rStyle w:val="Funotenzeichen"/>
        </w:rPr>
        <w:footnoteRef/>
      </w:r>
      <w:r>
        <w:t xml:space="preserve"> </w:t>
      </w:r>
      <w:r>
        <w:fldChar w:fldCharType="begin"/>
      </w:r>
      <w:r>
        <w:instrText xml:space="preserve"> ADDIN EN.CITE &lt;EndNote&gt;&lt;Cite&gt;&lt;Author&gt;EKU&lt;/Author&gt;&lt;Year&gt;1979&lt;/Year&gt;&lt;RecNum&gt;1431&lt;/RecNum&gt;&lt;DisplayText&gt;Der Rat der EKU, 1979&lt;/DisplayText&gt;&lt;record&gt;&lt;rec-number&gt;1431&lt;/rec-number&gt;&lt;foreign-keys&gt;&lt;key app="EN" db-id="0t0dxv9vetdatmef0a959d9wdwf995aa9dxw"&gt;1431&lt;/key&gt;&lt;/foreign-keys&gt;&lt;ref-type name="Edited Book"&gt;28&lt;/ref-type&gt;&lt;contributors&gt;&lt;authors&gt;&lt;author&gt;Der Rat der EKU&lt;/author&gt;&lt;/authors&gt;&lt;/contributors&gt;&lt;titles&gt;&lt;title&gt;Gottesdienstordnungen für Ordination, Einführung, Bevollmächtigung und Vorstellung&lt;/title&gt;&lt;secondary-title&gt;Agende für die evangelische Kirche der Union&lt;/secondary-title&gt;&lt;/titles&gt;&lt;number&gt;Bd. II/2&lt;/number&gt;&lt;dates&gt;&lt;year&gt;1979&lt;/year&gt;&lt;/dates&gt;&lt;pub-location&gt;Bielefeld&lt;/pub-location&gt;&lt;urls&gt;&lt;/urls&gt;&lt;/record&gt;&lt;/Cite&gt;&lt;/EndNote&gt;</w:instrText>
      </w:r>
      <w:r>
        <w:fldChar w:fldCharType="separate"/>
      </w:r>
      <w:r>
        <w:rPr>
          <w:noProof/>
        </w:rPr>
        <w:t>Der Rat der EKU, 1979</w:t>
      </w:r>
      <w:r>
        <w:fldChar w:fldCharType="end"/>
      </w:r>
      <w:r>
        <w:t>, 19.</w:t>
      </w:r>
    </w:p>
  </w:footnote>
  <w:footnote w:id="19">
    <w:p w14:paraId="6FA354CA" w14:textId="77777777" w:rsidR="00B83FFD" w:rsidRDefault="00B83FFD" w:rsidP="00DD124D">
      <w:pPr>
        <w:pStyle w:val="Funotentext"/>
      </w:pPr>
      <w:r>
        <w:rPr>
          <w:rStyle w:val="Funotenzeichen"/>
        </w:rPr>
        <w:footnoteRef/>
      </w:r>
      <w:r>
        <w:t xml:space="preserve"> Vgl. zur Auslegung vor allem </w:t>
      </w:r>
      <w:r>
        <w:fldChar w:fldCharType="begin"/>
      </w:r>
      <w:r>
        <w:instrText xml:space="preserve"> ADDIN EN.CITE &lt;EndNote&gt;&lt;Cite&gt;&lt;Author&gt;Böttrich&lt;/Author&gt;&lt;Year&gt;1999&lt;/Year&gt;&lt;RecNum&gt;1419&lt;/RecNum&gt;&lt;DisplayText&gt;Christfried Böttrich 1999, &lt;/DisplayText&gt;&lt;record&gt;&lt;rec-number&gt;1419&lt;/rec-number&gt;&lt;foreign-keys&gt;&lt;key app="EN" db-id="0t0dxv9vetdatmef0a959d9wdwf995aa9dxw"&gt;1419&lt;/key&gt;&lt;/foreign-keys&gt;&lt;ref-type name="Journal Article"&gt;17&lt;/ref-type&gt;&lt;contributors&gt;&lt;authors&gt;&lt;author&gt;Christfried Böttrich&lt;/author&gt;&lt;/authors&gt;&lt;/contributors&gt;&lt;titles&gt;&lt;title&gt;Gemeinde und Gemeindeleitung nach Epheser 4&lt;/title&gt;&lt;secondary-title&gt;ThBeitr&lt;/secondary-title&gt;&lt;/titles&gt;&lt;periodical&gt;&lt;full-title&gt;ThBeitr&lt;/full-title&gt;&lt;/periodical&gt;&lt;pages&gt;137-150&lt;/pages&gt;&lt;volume&gt;30&lt;/volume&gt;&lt;dates&gt;&lt;year&gt;1999&lt;/year&gt;&lt;/dates&gt;&lt;urls&gt;&lt;/urls&gt;&lt;/record&gt;&lt;/Cite&gt;&lt;/EndNote&gt;</w:instrText>
      </w:r>
      <w:r>
        <w:fldChar w:fldCharType="separate"/>
      </w:r>
      <w:r>
        <w:rPr>
          <w:noProof/>
        </w:rPr>
        <w:t xml:space="preserve">Christfried Böttrich 1999, </w:t>
      </w:r>
      <w:r>
        <w:fldChar w:fldCharType="end"/>
      </w:r>
      <w:r>
        <w:t>137-150.</w:t>
      </w:r>
    </w:p>
  </w:footnote>
  <w:footnote w:id="20">
    <w:p w14:paraId="1C9B0950" w14:textId="77777777" w:rsidR="00B83FFD" w:rsidRDefault="00B83FFD" w:rsidP="00E53219">
      <w:pPr>
        <w:pStyle w:val="Funotentext"/>
      </w:pPr>
      <w:r>
        <w:rPr>
          <w:rStyle w:val="Funotenzeichen"/>
        </w:rPr>
        <w:footnoteRef/>
      </w:r>
      <w:r>
        <w:t xml:space="preserve"> So formulieren es auch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58.</w:t>
      </w:r>
    </w:p>
  </w:footnote>
  <w:footnote w:id="21">
    <w:p w14:paraId="02C10C78" w14:textId="77777777" w:rsidR="00B83FFD" w:rsidRDefault="00B83FFD" w:rsidP="00E53219">
      <w:pPr>
        <w:pStyle w:val="Funotentext"/>
      </w:pPr>
      <w:r>
        <w:rPr>
          <w:rStyle w:val="Funotenzeichen"/>
        </w:rPr>
        <w:footnoteRef/>
      </w:r>
      <w:r>
        <w:t xml:space="preserve"> Vgl. </w:t>
      </w:r>
      <w:r>
        <w:fldChar w:fldCharType="begin"/>
      </w:r>
      <w:r>
        <w:instrText xml:space="preserve"> ADDIN EN.CITE &lt;EndNote&gt;&lt;Cite&gt;&lt;Author&gt;Wagner-Rau&lt;/Author&gt;&lt;Year&gt;2004&lt;/Year&gt;&lt;RecNum&gt;1402&lt;/RecNum&gt;&lt;DisplayText&gt;Ulrike Wagner-Rau 2004, &lt;/DisplayText&gt;&lt;record&gt;&lt;rec-number&gt;1402&lt;/rec-number&gt;&lt;foreign-keys&gt;&lt;key app="EN" db-id="0t0dxv9vetdatmef0a959d9wdwf995aa9dxw"&gt;1402&lt;/key&gt;&lt;/foreign-keys&gt;&lt;ref-type name="Journal Article"&gt;17&lt;/ref-type&gt;&lt;contributors&gt;&lt;authors&gt;&lt;author&gt;Ulrike Wagner-Rau&lt;/author&gt;&lt;/authors&gt;&lt;/contributors&gt;&lt;titles&gt;&lt;title&gt;Begrenzen und öffnen. Perspektiven für das Pfarramt in einer gastfreundlichen Kirche&lt;/title&gt;&lt;secondary-title&gt;PTh&lt;/secondary-title&gt;&lt;/titles&gt;&lt;periodical&gt;&lt;full-title&gt;PTh&lt;/full-title&gt;&lt;/periodical&gt;&lt;pages&gt;450-465&lt;/pages&gt;&lt;volume&gt;93&lt;/volume&gt;&lt;dates&gt;&lt;year&gt;2004&lt;/year&gt;&lt;/dates&gt;&lt;urls&gt;&lt;/urls&gt;&lt;/record&gt;&lt;/Cite&gt;&lt;/EndNote&gt;</w:instrText>
      </w:r>
      <w:r>
        <w:fldChar w:fldCharType="separate"/>
      </w:r>
      <w:r>
        <w:rPr>
          <w:noProof/>
        </w:rPr>
        <w:t xml:space="preserve">Ulrike Wagner-Rau 2004, </w:t>
      </w:r>
      <w:r>
        <w:fldChar w:fldCharType="end"/>
      </w:r>
      <w:r>
        <w:t>454.</w:t>
      </w:r>
    </w:p>
  </w:footnote>
  <w:footnote w:id="22">
    <w:p w14:paraId="4308193B" w14:textId="77777777" w:rsidR="00B83FFD" w:rsidRDefault="00B83FFD" w:rsidP="00E53219">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p>
  </w:footnote>
  <w:footnote w:id="23">
    <w:p w14:paraId="542F003C" w14:textId="77777777" w:rsidR="00B83FFD" w:rsidRDefault="00B83FFD" w:rsidP="00E53219">
      <w:pPr>
        <w:pStyle w:val="Funotentext"/>
      </w:pPr>
      <w:r>
        <w:rPr>
          <w:rStyle w:val="Funotenzeichen"/>
        </w:rPr>
        <w:footnoteRef/>
      </w:r>
      <w:r>
        <w:t xml:space="preserve"> Diesen Gedanken verdanke ich dem Gespräch mit Oberkirchenrätin Dr. Mareile Lasogga.</w:t>
      </w:r>
    </w:p>
  </w:footnote>
  <w:footnote w:id="24">
    <w:p w14:paraId="0FF59D80" w14:textId="77777777" w:rsidR="00B83FFD" w:rsidRDefault="00B83FFD" w:rsidP="00391D5D">
      <w:pPr>
        <w:pStyle w:val="Funotentext"/>
      </w:pPr>
      <w:r>
        <w:rPr>
          <w:rStyle w:val="Funotenzeichen"/>
        </w:rPr>
        <w:footnoteRef/>
      </w:r>
      <w:r>
        <w:t xml:space="preserve">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147.</w:t>
      </w:r>
    </w:p>
  </w:footnote>
  <w:footnote w:id="25">
    <w:p w14:paraId="4EDEB9B8" w14:textId="77777777" w:rsidR="00B83FFD" w:rsidRDefault="00B83FFD" w:rsidP="00822EA8">
      <w:pPr>
        <w:pStyle w:val="Funotentext"/>
      </w:pPr>
      <w:r>
        <w:rPr>
          <w:rStyle w:val="Funotenzeichen"/>
        </w:rPr>
        <w:footnoteRef/>
      </w:r>
      <w:r>
        <w:t xml:space="preserve"> Vgl. </w:t>
      </w:r>
      <w:r>
        <w:fldChar w:fldCharType="begin"/>
      </w:r>
      <w:r>
        <w:instrText xml:space="preserve"> ADDIN EN.CITE &lt;EndNote&gt;&lt;Cite&gt;&lt;Author&gt;Böhlemann&lt;/Author&gt;&lt;Year&gt;2011&lt;/Year&gt;&lt;RecNum&gt;1032&lt;/RecNum&gt;&lt;DisplayText&gt;Peter Böhlemann und Michael Herbst 2011&lt;/DisplayText&gt;&lt;record&gt;&lt;rec-number&gt;1032&lt;/rec-number&gt;&lt;foreign-keys&gt;&lt;key app="EN" db-id="0t0dxv9vetdatmef0a959d9wdwf995aa9dxw"&gt;1032&lt;/key&gt;&lt;/foreign-keys&gt;&lt;ref-type name="Book"&gt;6&lt;/ref-type&gt;&lt;contributors&gt;&lt;authors&gt;&lt;author&gt;Peter Böhlemann&lt;/author&gt;&lt;author&gt;Michael Herbst&lt;/author&gt;&lt;/authors&gt;&lt;/contributors&gt;&lt;titles&gt;&lt;title&gt;Geistliche Leitung&lt;/title&gt;&lt;/titles&gt;&lt;dates&gt;&lt;year&gt;2011&lt;/year&gt;&lt;/dates&gt;&lt;pub-location&gt;Göttingen&lt;/pub-location&gt;&lt;urls&gt;&lt;/urls&gt;&lt;/record&gt;&lt;/Cite&gt;&lt;/EndNote&gt;</w:instrText>
      </w:r>
      <w:r>
        <w:fldChar w:fldCharType="separate"/>
      </w:r>
      <w:r>
        <w:rPr>
          <w:noProof/>
        </w:rPr>
        <w:t>Peter Böhlemann und Michael Herbst 2011</w:t>
      </w:r>
      <w:r>
        <w:fldChar w:fldCharType="end"/>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C3BD2" w14:textId="77777777" w:rsidR="00B83FFD" w:rsidRDefault="00B83FFD">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09174519" wp14:editId="5CC2764B">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4A5CB" w14:textId="77777777" w:rsidR="00B83FFD" w:rsidRDefault="00B83F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2DD4A5CB" w14:textId="77777777" w:rsidR="00B83FFD" w:rsidRDefault="00B83FFD"/>
                </w:txbxContent>
              </v:textbox>
            </v:shape>
          </w:pict>
        </mc:Fallback>
      </mc:AlternateContent>
    </w:r>
    <w:r>
      <w:rPr>
        <w:noProof/>
        <w:lang w:eastAsia="de-DE"/>
      </w:rPr>
      <w:drawing>
        <wp:anchor distT="0" distB="0" distL="114300" distR="114300" simplePos="0" relativeHeight="251656704" behindDoc="1" locked="0" layoutInCell="1" allowOverlap="1" wp14:anchorId="2B410D83" wp14:editId="79B03480">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77DB1180" wp14:editId="2A3B5735">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08FFB525" w14:textId="77777777" w:rsidR="00B83FFD" w:rsidRPr="00892CF7" w:rsidRDefault="00B83FFD">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71A102E"/>
    <w:multiLevelType w:val="hybridMultilevel"/>
    <w:tmpl w:val="E092F5FC"/>
    <w:lvl w:ilvl="0" w:tplc="6C28BA9E">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5">
    <w:nsid w:val="087067BA"/>
    <w:multiLevelType w:val="hybridMultilevel"/>
    <w:tmpl w:val="47AC18B2"/>
    <w:lvl w:ilvl="0" w:tplc="941C8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5F59B4"/>
    <w:multiLevelType w:val="hybridMultilevel"/>
    <w:tmpl w:val="275C4E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D4116AA"/>
    <w:multiLevelType w:val="hybridMultilevel"/>
    <w:tmpl w:val="66E6F4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684758A"/>
    <w:multiLevelType w:val="hybridMultilevel"/>
    <w:tmpl w:val="C2582212"/>
    <w:lvl w:ilvl="0" w:tplc="9DF0A6C8">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12">
    <w:nsid w:val="2AF24B63"/>
    <w:multiLevelType w:val="hybridMultilevel"/>
    <w:tmpl w:val="C8C256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F6313EE"/>
    <w:multiLevelType w:val="hybridMultilevel"/>
    <w:tmpl w:val="6E369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3DA6AF7"/>
    <w:multiLevelType w:val="hybridMultilevel"/>
    <w:tmpl w:val="EE1433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7">
    <w:nsid w:val="3F363E86"/>
    <w:multiLevelType w:val="hybridMultilevel"/>
    <w:tmpl w:val="995866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0">
    <w:nsid w:val="44A11CCB"/>
    <w:multiLevelType w:val="hybridMultilevel"/>
    <w:tmpl w:val="85DE3D5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64A5166"/>
    <w:multiLevelType w:val="hybridMultilevel"/>
    <w:tmpl w:val="D68AE7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75A0F90"/>
    <w:multiLevelType w:val="hybridMultilevel"/>
    <w:tmpl w:val="9408954E"/>
    <w:lvl w:ilvl="0" w:tplc="9DF0A6C8">
      <w:start w:val="1"/>
      <w:numFmt w:val="decimal"/>
      <w:lvlText w:val="%1."/>
      <w:lvlJc w:val="left"/>
      <w:pPr>
        <w:ind w:left="1069"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8BA4394"/>
    <w:multiLevelType w:val="hybridMultilevel"/>
    <w:tmpl w:val="54EEC878"/>
    <w:lvl w:ilvl="0" w:tplc="D56624CE">
      <w:start w:val="1"/>
      <w:numFmt w:val="lowerLetter"/>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24">
    <w:nsid w:val="4F732546"/>
    <w:multiLevelType w:val="hybridMultilevel"/>
    <w:tmpl w:val="5BC0582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0D008B3"/>
    <w:multiLevelType w:val="hybridMultilevel"/>
    <w:tmpl w:val="B1849A18"/>
    <w:lvl w:ilvl="0" w:tplc="BD2241E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26">
    <w:nsid w:val="51FD1D2D"/>
    <w:multiLevelType w:val="hybridMultilevel"/>
    <w:tmpl w:val="F7ECB0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7F062C7"/>
    <w:multiLevelType w:val="hybridMultilevel"/>
    <w:tmpl w:val="728E21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FEE7490"/>
    <w:multiLevelType w:val="hybridMultilevel"/>
    <w:tmpl w:val="050288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8113201"/>
    <w:multiLevelType w:val="hybridMultilevel"/>
    <w:tmpl w:val="30C8C1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1">
    <w:nsid w:val="6C8A498E"/>
    <w:multiLevelType w:val="hybridMultilevel"/>
    <w:tmpl w:val="5F804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EBB5A64"/>
    <w:multiLevelType w:val="hybridMultilevel"/>
    <w:tmpl w:val="E84AEE44"/>
    <w:lvl w:ilvl="0" w:tplc="359E3CB4">
      <w:start w:val="1"/>
      <w:numFmt w:val="decimal"/>
      <w:lvlText w:val="%1."/>
      <w:lvlJc w:val="left"/>
      <w:pPr>
        <w:tabs>
          <w:tab w:val="num" w:pos="720"/>
        </w:tabs>
        <w:ind w:left="720" w:hanging="360"/>
      </w:pPr>
    </w:lvl>
    <w:lvl w:ilvl="1" w:tplc="1E504E8E" w:tentative="1">
      <w:start w:val="1"/>
      <w:numFmt w:val="decimal"/>
      <w:lvlText w:val="%2."/>
      <w:lvlJc w:val="left"/>
      <w:pPr>
        <w:tabs>
          <w:tab w:val="num" w:pos="1440"/>
        </w:tabs>
        <w:ind w:left="1440" w:hanging="360"/>
      </w:pPr>
    </w:lvl>
    <w:lvl w:ilvl="2" w:tplc="358CA862" w:tentative="1">
      <w:start w:val="1"/>
      <w:numFmt w:val="decimal"/>
      <w:lvlText w:val="%3."/>
      <w:lvlJc w:val="left"/>
      <w:pPr>
        <w:tabs>
          <w:tab w:val="num" w:pos="2160"/>
        </w:tabs>
        <w:ind w:left="2160" w:hanging="360"/>
      </w:pPr>
    </w:lvl>
    <w:lvl w:ilvl="3" w:tplc="364A46C8" w:tentative="1">
      <w:start w:val="1"/>
      <w:numFmt w:val="decimal"/>
      <w:lvlText w:val="%4."/>
      <w:lvlJc w:val="left"/>
      <w:pPr>
        <w:tabs>
          <w:tab w:val="num" w:pos="2880"/>
        </w:tabs>
        <w:ind w:left="2880" w:hanging="360"/>
      </w:pPr>
    </w:lvl>
    <w:lvl w:ilvl="4" w:tplc="BF4C7A96" w:tentative="1">
      <w:start w:val="1"/>
      <w:numFmt w:val="decimal"/>
      <w:lvlText w:val="%5."/>
      <w:lvlJc w:val="left"/>
      <w:pPr>
        <w:tabs>
          <w:tab w:val="num" w:pos="3600"/>
        </w:tabs>
        <w:ind w:left="3600" w:hanging="360"/>
      </w:pPr>
    </w:lvl>
    <w:lvl w:ilvl="5" w:tplc="51AEE420" w:tentative="1">
      <w:start w:val="1"/>
      <w:numFmt w:val="decimal"/>
      <w:lvlText w:val="%6."/>
      <w:lvlJc w:val="left"/>
      <w:pPr>
        <w:tabs>
          <w:tab w:val="num" w:pos="4320"/>
        </w:tabs>
        <w:ind w:left="4320" w:hanging="360"/>
      </w:pPr>
    </w:lvl>
    <w:lvl w:ilvl="6" w:tplc="1F1E1C78" w:tentative="1">
      <w:start w:val="1"/>
      <w:numFmt w:val="decimal"/>
      <w:lvlText w:val="%7."/>
      <w:lvlJc w:val="left"/>
      <w:pPr>
        <w:tabs>
          <w:tab w:val="num" w:pos="5040"/>
        </w:tabs>
        <w:ind w:left="5040" w:hanging="360"/>
      </w:pPr>
    </w:lvl>
    <w:lvl w:ilvl="7" w:tplc="6A8AA992" w:tentative="1">
      <w:start w:val="1"/>
      <w:numFmt w:val="decimal"/>
      <w:lvlText w:val="%8."/>
      <w:lvlJc w:val="left"/>
      <w:pPr>
        <w:tabs>
          <w:tab w:val="num" w:pos="5760"/>
        </w:tabs>
        <w:ind w:left="5760" w:hanging="360"/>
      </w:pPr>
    </w:lvl>
    <w:lvl w:ilvl="8" w:tplc="B0D203F8" w:tentative="1">
      <w:start w:val="1"/>
      <w:numFmt w:val="decimal"/>
      <w:lvlText w:val="%9."/>
      <w:lvlJc w:val="left"/>
      <w:pPr>
        <w:tabs>
          <w:tab w:val="num" w:pos="6480"/>
        </w:tabs>
        <w:ind w:left="6480" w:hanging="360"/>
      </w:pPr>
    </w:lvl>
  </w:abstractNum>
  <w:abstractNum w:abstractNumId="33">
    <w:nsid w:val="6EDD63F1"/>
    <w:multiLevelType w:val="hybridMultilevel"/>
    <w:tmpl w:val="C25CD20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A600B61"/>
    <w:multiLevelType w:val="hybridMultilevel"/>
    <w:tmpl w:val="897AA0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CEE7EE7"/>
    <w:multiLevelType w:val="hybridMultilevel"/>
    <w:tmpl w:val="C63227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D516863"/>
    <w:multiLevelType w:val="hybridMultilevel"/>
    <w:tmpl w:val="B18016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DB55ECD"/>
    <w:multiLevelType w:val="hybridMultilevel"/>
    <w:tmpl w:val="5178ED26"/>
    <w:lvl w:ilvl="0" w:tplc="67DE1ED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EAF4CAD"/>
    <w:multiLevelType w:val="hybridMultilevel"/>
    <w:tmpl w:val="7DF210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8"/>
  </w:num>
  <w:num w:numId="4">
    <w:abstractNumId w:val="3"/>
  </w:num>
  <w:num w:numId="5">
    <w:abstractNumId w:val="2"/>
  </w:num>
  <w:num w:numId="6">
    <w:abstractNumId w:val="1"/>
  </w:num>
  <w:num w:numId="7">
    <w:abstractNumId w:val="0"/>
  </w:num>
  <w:num w:numId="8">
    <w:abstractNumId w:val="19"/>
  </w:num>
  <w:num w:numId="9">
    <w:abstractNumId w:val="10"/>
  </w:num>
  <w:num w:numId="10">
    <w:abstractNumId w:val="30"/>
  </w:num>
  <w:num w:numId="11">
    <w:abstractNumId w:val="8"/>
  </w:num>
  <w:num w:numId="12">
    <w:abstractNumId w:val="14"/>
  </w:num>
  <w:num w:numId="13">
    <w:abstractNumId w:val="1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6"/>
  </w:num>
  <w:num w:numId="18">
    <w:abstractNumId w:val="31"/>
  </w:num>
  <w:num w:numId="19">
    <w:abstractNumId w:val="38"/>
  </w:num>
  <w:num w:numId="20">
    <w:abstractNumId w:val="26"/>
  </w:num>
  <w:num w:numId="21">
    <w:abstractNumId w:val="36"/>
  </w:num>
  <w:num w:numId="22">
    <w:abstractNumId w:val="27"/>
  </w:num>
  <w:num w:numId="23">
    <w:abstractNumId w:val="7"/>
  </w:num>
  <w:num w:numId="24">
    <w:abstractNumId w:val="22"/>
  </w:num>
  <w:num w:numId="25">
    <w:abstractNumId w:val="37"/>
  </w:num>
  <w:num w:numId="26">
    <w:abstractNumId w:val="28"/>
  </w:num>
  <w:num w:numId="27">
    <w:abstractNumId w:val="5"/>
  </w:num>
  <w:num w:numId="28">
    <w:abstractNumId w:val="13"/>
  </w:num>
  <w:num w:numId="29">
    <w:abstractNumId w:val="12"/>
  </w:num>
  <w:num w:numId="30">
    <w:abstractNumId w:val="15"/>
  </w:num>
  <w:num w:numId="31">
    <w:abstractNumId w:val="17"/>
  </w:num>
  <w:num w:numId="32">
    <w:abstractNumId w:val="4"/>
  </w:num>
  <w:num w:numId="33">
    <w:abstractNumId w:val="24"/>
  </w:num>
  <w:num w:numId="34">
    <w:abstractNumId w:val="20"/>
  </w:num>
  <w:num w:numId="35">
    <w:abstractNumId w:val="33"/>
  </w:num>
  <w:num w:numId="36">
    <w:abstractNumId w:val="23"/>
  </w:num>
  <w:num w:numId="37">
    <w:abstractNumId w:val="25"/>
  </w:num>
  <w:num w:numId="38">
    <w:abstractNumId w:val="34"/>
  </w:num>
  <w:num w:numId="39">
    <w:abstractNumId w:val="35"/>
  </w:num>
  <w:num w:numId="40">
    <w:abstractNumId w:val="21"/>
  </w:num>
  <w:num w:numId="4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4043"/>
    <w:rsid w:val="000153DA"/>
    <w:rsid w:val="0001554B"/>
    <w:rsid w:val="000155A5"/>
    <w:rsid w:val="00016127"/>
    <w:rsid w:val="00016409"/>
    <w:rsid w:val="000165E7"/>
    <w:rsid w:val="00016AD8"/>
    <w:rsid w:val="000174BB"/>
    <w:rsid w:val="00021000"/>
    <w:rsid w:val="000215A6"/>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4D91"/>
    <w:rsid w:val="00065399"/>
    <w:rsid w:val="0006553D"/>
    <w:rsid w:val="000658DA"/>
    <w:rsid w:val="00065D8B"/>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2F49"/>
    <w:rsid w:val="000B4558"/>
    <w:rsid w:val="000B47EB"/>
    <w:rsid w:val="000B517F"/>
    <w:rsid w:val="000B63E2"/>
    <w:rsid w:val="000B691A"/>
    <w:rsid w:val="000B6CBE"/>
    <w:rsid w:val="000C1E93"/>
    <w:rsid w:val="000C279F"/>
    <w:rsid w:val="000C2AE0"/>
    <w:rsid w:val="000C350F"/>
    <w:rsid w:val="000C473F"/>
    <w:rsid w:val="000C4A1C"/>
    <w:rsid w:val="000C539B"/>
    <w:rsid w:val="000C6111"/>
    <w:rsid w:val="000C69CC"/>
    <w:rsid w:val="000C731A"/>
    <w:rsid w:val="000D02C9"/>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50E"/>
    <w:rsid w:val="000E373F"/>
    <w:rsid w:val="000E494A"/>
    <w:rsid w:val="000E4977"/>
    <w:rsid w:val="000E4BC8"/>
    <w:rsid w:val="000E4E90"/>
    <w:rsid w:val="000E6211"/>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1E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3AD"/>
    <w:rsid w:val="00145A3B"/>
    <w:rsid w:val="0014669B"/>
    <w:rsid w:val="001467D8"/>
    <w:rsid w:val="001479BC"/>
    <w:rsid w:val="001501A6"/>
    <w:rsid w:val="00151810"/>
    <w:rsid w:val="001525D9"/>
    <w:rsid w:val="00152F08"/>
    <w:rsid w:val="0015305E"/>
    <w:rsid w:val="001533D1"/>
    <w:rsid w:val="0015677D"/>
    <w:rsid w:val="00157511"/>
    <w:rsid w:val="00157851"/>
    <w:rsid w:val="001578A1"/>
    <w:rsid w:val="00157AD0"/>
    <w:rsid w:val="00157CFC"/>
    <w:rsid w:val="00160024"/>
    <w:rsid w:val="001601CA"/>
    <w:rsid w:val="00161420"/>
    <w:rsid w:val="00162708"/>
    <w:rsid w:val="00163675"/>
    <w:rsid w:val="00163F8A"/>
    <w:rsid w:val="00164F08"/>
    <w:rsid w:val="001650A8"/>
    <w:rsid w:val="00167B0A"/>
    <w:rsid w:val="00167C9F"/>
    <w:rsid w:val="00167E46"/>
    <w:rsid w:val="00171D93"/>
    <w:rsid w:val="00172558"/>
    <w:rsid w:val="00173716"/>
    <w:rsid w:val="0017421B"/>
    <w:rsid w:val="0017436F"/>
    <w:rsid w:val="00174A00"/>
    <w:rsid w:val="00175E3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6DD4"/>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57A"/>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BE"/>
    <w:rsid w:val="002209DB"/>
    <w:rsid w:val="002218FD"/>
    <w:rsid w:val="00221973"/>
    <w:rsid w:val="00222288"/>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DD2"/>
    <w:rsid w:val="00250EA8"/>
    <w:rsid w:val="00253039"/>
    <w:rsid w:val="00254DB5"/>
    <w:rsid w:val="002564FB"/>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DB4"/>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785"/>
    <w:rsid w:val="002A3CB6"/>
    <w:rsid w:val="002A4793"/>
    <w:rsid w:val="002A4D94"/>
    <w:rsid w:val="002A4F88"/>
    <w:rsid w:val="002A50F5"/>
    <w:rsid w:val="002A58A8"/>
    <w:rsid w:val="002A5A49"/>
    <w:rsid w:val="002A6610"/>
    <w:rsid w:val="002A71F8"/>
    <w:rsid w:val="002A7BEA"/>
    <w:rsid w:val="002B091A"/>
    <w:rsid w:val="002B0DFB"/>
    <w:rsid w:val="002B3191"/>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0DAA"/>
    <w:rsid w:val="002E10D9"/>
    <w:rsid w:val="002E138C"/>
    <w:rsid w:val="002E1791"/>
    <w:rsid w:val="002E294B"/>
    <w:rsid w:val="002E323D"/>
    <w:rsid w:val="002E332D"/>
    <w:rsid w:val="002E3383"/>
    <w:rsid w:val="002E5D88"/>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3AAD"/>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49D"/>
    <w:rsid w:val="00344512"/>
    <w:rsid w:val="00344CA1"/>
    <w:rsid w:val="00344E98"/>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3BB"/>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25B"/>
    <w:rsid w:val="00383832"/>
    <w:rsid w:val="00383AB8"/>
    <w:rsid w:val="00383D1B"/>
    <w:rsid w:val="0038440D"/>
    <w:rsid w:val="003844AF"/>
    <w:rsid w:val="0038677F"/>
    <w:rsid w:val="00387294"/>
    <w:rsid w:val="003876F0"/>
    <w:rsid w:val="00387828"/>
    <w:rsid w:val="0039015A"/>
    <w:rsid w:val="00390633"/>
    <w:rsid w:val="00390B29"/>
    <w:rsid w:val="00390F89"/>
    <w:rsid w:val="00391067"/>
    <w:rsid w:val="0039125D"/>
    <w:rsid w:val="0039151C"/>
    <w:rsid w:val="00391D5D"/>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350"/>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4175"/>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A16"/>
    <w:rsid w:val="00412B7B"/>
    <w:rsid w:val="00413870"/>
    <w:rsid w:val="00413B3A"/>
    <w:rsid w:val="0041445F"/>
    <w:rsid w:val="00415165"/>
    <w:rsid w:val="00415A56"/>
    <w:rsid w:val="004163BD"/>
    <w:rsid w:val="00416554"/>
    <w:rsid w:val="00416CF2"/>
    <w:rsid w:val="00416D9F"/>
    <w:rsid w:val="0041702F"/>
    <w:rsid w:val="0041752B"/>
    <w:rsid w:val="00417571"/>
    <w:rsid w:val="00421891"/>
    <w:rsid w:val="00421CF7"/>
    <w:rsid w:val="00422FA3"/>
    <w:rsid w:val="004241A5"/>
    <w:rsid w:val="004245F2"/>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65C4"/>
    <w:rsid w:val="00437EF2"/>
    <w:rsid w:val="00440886"/>
    <w:rsid w:val="0044227F"/>
    <w:rsid w:val="0044351D"/>
    <w:rsid w:val="004441DB"/>
    <w:rsid w:val="0044515B"/>
    <w:rsid w:val="004455E9"/>
    <w:rsid w:val="00445854"/>
    <w:rsid w:val="00445CB0"/>
    <w:rsid w:val="00445DBC"/>
    <w:rsid w:val="004507EC"/>
    <w:rsid w:val="00450C8B"/>
    <w:rsid w:val="00450DCD"/>
    <w:rsid w:val="00450E80"/>
    <w:rsid w:val="004512DF"/>
    <w:rsid w:val="00451C30"/>
    <w:rsid w:val="00451F75"/>
    <w:rsid w:val="00452AC6"/>
    <w:rsid w:val="00452F0B"/>
    <w:rsid w:val="00452F8A"/>
    <w:rsid w:val="00453864"/>
    <w:rsid w:val="0045446E"/>
    <w:rsid w:val="00454EAC"/>
    <w:rsid w:val="00457957"/>
    <w:rsid w:val="0046089B"/>
    <w:rsid w:val="00460B3C"/>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4EB1"/>
    <w:rsid w:val="00474F75"/>
    <w:rsid w:val="004764E3"/>
    <w:rsid w:val="0047683E"/>
    <w:rsid w:val="00481431"/>
    <w:rsid w:val="00481CC0"/>
    <w:rsid w:val="00481F36"/>
    <w:rsid w:val="0048236F"/>
    <w:rsid w:val="00483152"/>
    <w:rsid w:val="0048388B"/>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39D7"/>
    <w:rsid w:val="004B4264"/>
    <w:rsid w:val="004B4C72"/>
    <w:rsid w:val="004B56FA"/>
    <w:rsid w:val="004B689B"/>
    <w:rsid w:val="004B6B28"/>
    <w:rsid w:val="004B6D96"/>
    <w:rsid w:val="004B7180"/>
    <w:rsid w:val="004C094E"/>
    <w:rsid w:val="004C0B8E"/>
    <w:rsid w:val="004C135E"/>
    <w:rsid w:val="004C25A1"/>
    <w:rsid w:val="004C3C10"/>
    <w:rsid w:val="004C44F5"/>
    <w:rsid w:val="004C4B49"/>
    <w:rsid w:val="004C5757"/>
    <w:rsid w:val="004C5A0E"/>
    <w:rsid w:val="004C6165"/>
    <w:rsid w:val="004C64F7"/>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016"/>
    <w:rsid w:val="004E6F4F"/>
    <w:rsid w:val="004E7896"/>
    <w:rsid w:val="004F01B1"/>
    <w:rsid w:val="004F0C47"/>
    <w:rsid w:val="004F233E"/>
    <w:rsid w:val="004F31F4"/>
    <w:rsid w:val="004F3344"/>
    <w:rsid w:val="004F5A78"/>
    <w:rsid w:val="004F5C78"/>
    <w:rsid w:val="004F6125"/>
    <w:rsid w:val="004F6481"/>
    <w:rsid w:val="00500910"/>
    <w:rsid w:val="0050122E"/>
    <w:rsid w:val="00502A49"/>
    <w:rsid w:val="0050303E"/>
    <w:rsid w:val="00504AE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0CC"/>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4ECB"/>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AB6"/>
    <w:rsid w:val="00597BB2"/>
    <w:rsid w:val="005A0254"/>
    <w:rsid w:val="005A05A7"/>
    <w:rsid w:val="005A070E"/>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50D6"/>
    <w:rsid w:val="005B610D"/>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6F6A"/>
    <w:rsid w:val="005D708F"/>
    <w:rsid w:val="005D73AB"/>
    <w:rsid w:val="005D7630"/>
    <w:rsid w:val="005E0A2C"/>
    <w:rsid w:val="005E0D08"/>
    <w:rsid w:val="005E35F2"/>
    <w:rsid w:val="005E3B22"/>
    <w:rsid w:val="005E4652"/>
    <w:rsid w:val="005E56AF"/>
    <w:rsid w:val="005E58FC"/>
    <w:rsid w:val="005E68B4"/>
    <w:rsid w:val="005E7651"/>
    <w:rsid w:val="005E792D"/>
    <w:rsid w:val="005E7DC5"/>
    <w:rsid w:val="005F087F"/>
    <w:rsid w:val="005F11B5"/>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6DB"/>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4DF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876DE"/>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4D0C"/>
    <w:rsid w:val="0070624B"/>
    <w:rsid w:val="0070660F"/>
    <w:rsid w:val="00706D9B"/>
    <w:rsid w:val="00707A03"/>
    <w:rsid w:val="00710101"/>
    <w:rsid w:val="0071056C"/>
    <w:rsid w:val="007110F7"/>
    <w:rsid w:val="00711BB9"/>
    <w:rsid w:val="00711BC4"/>
    <w:rsid w:val="0071276A"/>
    <w:rsid w:val="00714C42"/>
    <w:rsid w:val="00715219"/>
    <w:rsid w:val="00716122"/>
    <w:rsid w:val="007164A9"/>
    <w:rsid w:val="007164CD"/>
    <w:rsid w:val="00717A86"/>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3F80"/>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5D4F"/>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77EBC"/>
    <w:rsid w:val="0078015E"/>
    <w:rsid w:val="007804DD"/>
    <w:rsid w:val="007805EE"/>
    <w:rsid w:val="00781091"/>
    <w:rsid w:val="00782076"/>
    <w:rsid w:val="00783B81"/>
    <w:rsid w:val="00784018"/>
    <w:rsid w:val="00784753"/>
    <w:rsid w:val="0078610A"/>
    <w:rsid w:val="007870FB"/>
    <w:rsid w:val="00790293"/>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39A2"/>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B7C8A"/>
    <w:rsid w:val="007C00F9"/>
    <w:rsid w:val="007C012D"/>
    <w:rsid w:val="007C1DDF"/>
    <w:rsid w:val="007C22B3"/>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649"/>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0F4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2EA8"/>
    <w:rsid w:val="00823CC7"/>
    <w:rsid w:val="008246C6"/>
    <w:rsid w:val="008248EB"/>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0"/>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2836"/>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8BA"/>
    <w:rsid w:val="00887E5D"/>
    <w:rsid w:val="0089100E"/>
    <w:rsid w:val="00893271"/>
    <w:rsid w:val="0089434F"/>
    <w:rsid w:val="008943C0"/>
    <w:rsid w:val="0089459F"/>
    <w:rsid w:val="00894AC6"/>
    <w:rsid w:val="00894B51"/>
    <w:rsid w:val="00894FDA"/>
    <w:rsid w:val="0089508D"/>
    <w:rsid w:val="00895661"/>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2DE4"/>
    <w:rsid w:val="008F4522"/>
    <w:rsid w:val="008F49D4"/>
    <w:rsid w:val="008F4AA6"/>
    <w:rsid w:val="008F5C70"/>
    <w:rsid w:val="008F6DD6"/>
    <w:rsid w:val="008F7E37"/>
    <w:rsid w:val="009001C3"/>
    <w:rsid w:val="00902DD7"/>
    <w:rsid w:val="0090341C"/>
    <w:rsid w:val="00903DE2"/>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6320"/>
    <w:rsid w:val="009370BE"/>
    <w:rsid w:val="00937907"/>
    <w:rsid w:val="00937A23"/>
    <w:rsid w:val="00940B68"/>
    <w:rsid w:val="00940D2A"/>
    <w:rsid w:val="009415D3"/>
    <w:rsid w:val="00942EC8"/>
    <w:rsid w:val="009438E3"/>
    <w:rsid w:val="00944A88"/>
    <w:rsid w:val="00945326"/>
    <w:rsid w:val="0094646D"/>
    <w:rsid w:val="00946AB5"/>
    <w:rsid w:val="009502B1"/>
    <w:rsid w:val="00950DC3"/>
    <w:rsid w:val="00950F7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3C99"/>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135"/>
    <w:rsid w:val="009A2AC2"/>
    <w:rsid w:val="009A33C3"/>
    <w:rsid w:val="009A3CAD"/>
    <w:rsid w:val="009A5077"/>
    <w:rsid w:val="009A538A"/>
    <w:rsid w:val="009A56C7"/>
    <w:rsid w:val="009A5744"/>
    <w:rsid w:val="009A5B5C"/>
    <w:rsid w:val="009A5BEB"/>
    <w:rsid w:val="009A61ED"/>
    <w:rsid w:val="009A64AB"/>
    <w:rsid w:val="009A6F07"/>
    <w:rsid w:val="009A71EF"/>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45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0B90"/>
    <w:rsid w:val="00A91E24"/>
    <w:rsid w:val="00A942C8"/>
    <w:rsid w:val="00A95299"/>
    <w:rsid w:val="00A956E2"/>
    <w:rsid w:val="00A95AA3"/>
    <w:rsid w:val="00A95CD7"/>
    <w:rsid w:val="00A96108"/>
    <w:rsid w:val="00A96B9E"/>
    <w:rsid w:val="00AA0092"/>
    <w:rsid w:val="00AA0C32"/>
    <w:rsid w:val="00AA0DA2"/>
    <w:rsid w:val="00AA1393"/>
    <w:rsid w:val="00AA22CC"/>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85E"/>
    <w:rsid w:val="00AC3964"/>
    <w:rsid w:val="00AC39B9"/>
    <w:rsid w:val="00AC3B9C"/>
    <w:rsid w:val="00AC3F30"/>
    <w:rsid w:val="00AC47E9"/>
    <w:rsid w:val="00AC4BAB"/>
    <w:rsid w:val="00AC5260"/>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DF8"/>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73A"/>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3FFD"/>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AB1"/>
    <w:rsid w:val="00B97C02"/>
    <w:rsid w:val="00BA0868"/>
    <w:rsid w:val="00BA08CC"/>
    <w:rsid w:val="00BA0911"/>
    <w:rsid w:val="00BA19F8"/>
    <w:rsid w:val="00BA2020"/>
    <w:rsid w:val="00BA31B7"/>
    <w:rsid w:val="00BA36B4"/>
    <w:rsid w:val="00BA371D"/>
    <w:rsid w:val="00BA3B58"/>
    <w:rsid w:val="00BA3CD4"/>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346"/>
    <w:rsid w:val="00BC083F"/>
    <w:rsid w:val="00BC0B50"/>
    <w:rsid w:val="00BC1B97"/>
    <w:rsid w:val="00BC2616"/>
    <w:rsid w:val="00BC2C17"/>
    <w:rsid w:val="00BC30DF"/>
    <w:rsid w:val="00BC424F"/>
    <w:rsid w:val="00BC45C7"/>
    <w:rsid w:val="00BC4C18"/>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3B6"/>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6FD"/>
    <w:rsid w:val="00C1084F"/>
    <w:rsid w:val="00C126FF"/>
    <w:rsid w:val="00C13601"/>
    <w:rsid w:val="00C13945"/>
    <w:rsid w:val="00C13A3E"/>
    <w:rsid w:val="00C13CE4"/>
    <w:rsid w:val="00C1437E"/>
    <w:rsid w:val="00C14903"/>
    <w:rsid w:val="00C1725E"/>
    <w:rsid w:val="00C1738F"/>
    <w:rsid w:val="00C176A2"/>
    <w:rsid w:val="00C221C0"/>
    <w:rsid w:val="00C22F2A"/>
    <w:rsid w:val="00C24302"/>
    <w:rsid w:val="00C24977"/>
    <w:rsid w:val="00C24B86"/>
    <w:rsid w:val="00C24BC0"/>
    <w:rsid w:val="00C24BC6"/>
    <w:rsid w:val="00C25374"/>
    <w:rsid w:val="00C2594F"/>
    <w:rsid w:val="00C25EDA"/>
    <w:rsid w:val="00C3029D"/>
    <w:rsid w:val="00C31131"/>
    <w:rsid w:val="00C31256"/>
    <w:rsid w:val="00C31CEE"/>
    <w:rsid w:val="00C31F93"/>
    <w:rsid w:val="00C32FC9"/>
    <w:rsid w:val="00C33A86"/>
    <w:rsid w:val="00C34B64"/>
    <w:rsid w:val="00C357E2"/>
    <w:rsid w:val="00C36158"/>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979"/>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5E0"/>
    <w:rsid w:val="00C95A73"/>
    <w:rsid w:val="00C95CD9"/>
    <w:rsid w:val="00C96EC9"/>
    <w:rsid w:val="00C9748A"/>
    <w:rsid w:val="00C97718"/>
    <w:rsid w:val="00C977AF"/>
    <w:rsid w:val="00C97953"/>
    <w:rsid w:val="00C97979"/>
    <w:rsid w:val="00C97BB3"/>
    <w:rsid w:val="00C97FEE"/>
    <w:rsid w:val="00CA00E1"/>
    <w:rsid w:val="00CA0CD4"/>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201"/>
    <w:rsid w:val="00CB4625"/>
    <w:rsid w:val="00CB4633"/>
    <w:rsid w:val="00CB4BD9"/>
    <w:rsid w:val="00CB556E"/>
    <w:rsid w:val="00CB65EB"/>
    <w:rsid w:val="00CB6B50"/>
    <w:rsid w:val="00CB765C"/>
    <w:rsid w:val="00CB7828"/>
    <w:rsid w:val="00CB7D36"/>
    <w:rsid w:val="00CB7E98"/>
    <w:rsid w:val="00CB7ECC"/>
    <w:rsid w:val="00CB7EF9"/>
    <w:rsid w:val="00CB7FD0"/>
    <w:rsid w:val="00CC0071"/>
    <w:rsid w:val="00CC0CE8"/>
    <w:rsid w:val="00CC131D"/>
    <w:rsid w:val="00CC1C3A"/>
    <w:rsid w:val="00CC1C89"/>
    <w:rsid w:val="00CC2729"/>
    <w:rsid w:val="00CC28A8"/>
    <w:rsid w:val="00CC2925"/>
    <w:rsid w:val="00CC30CD"/>
    <w:rsid w:val="00CC3178"/>
    <w:rsid w:val="00CC45CD"/>
    <w:rsid w:val="00CC5048"/>
    <w:rsid w:val="00CC591C"/>
    <w:rsid w:val="00CC5B13"/>
    <w:rsid w:val="00CC5E61"/>
    <w:rsid w:val="00CC5F1F"/>
    <w:rsid w:val="00CC690C"/>
    <w:rsid w:val="00CC6AEE"/>
    <w:rsid w:val="00CC6F02"/>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5C8C"/>
    <w:rsid w:val="00CE6E38"/>
    <w:rsid w:val="00CE6F0F"/>
    <w:rsid w:val="00CE7FD4"/>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3C7D"/>
    <w:rsid w:val="00D060DB"/>
    <w:rsid w:val="00D0772C"/>
    <w:rsid w:val="00D07D20"/>
    <w:rsid w:val="00D1065D"/>
    <w:rsid w:val="00D110D4"/>
    <w:rsid w:val="00D12C91"/>
    <w:rsid w:val="00D13018"/>
    <w:rsid w:val="00D13A3F"/>
    <w:rsid w:val="00D13A6D"/>
    <w:rsid w:val="00D15356"/>
    <w:rsid w:val="00D15D6A"/>
    <w:rsid w:val="00D16AB8"/>
    <w:rsid w:val="00D17381"/>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6EB0"/>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42F"/>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350"/>
    <w:rsid w:val="00DA2F87"/>
    <w:rsid w:val="00DA54EB"/>
    <w:rsid w:val="00DA5574"/>
    <w:rsid w:val="00DA565C"/>
    <w:rsid w:val="00DA5D6D"/>
    <w:rsid w:val="00DA6396"/>
    <w:rsid w:val="00DA6CD4"/>
    <w:rsid w:val="00DA6D32"/>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24D"/>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2CB8"/>
    <w:rsid w:val="00E439AA"/>
    <w:rsid w:val="00E43E02"/>
    <w:rsid w:val="00E43E15"/>
    <w:rsid w:val="00E448CE"/>
    <w:rsid w:val="00E453FE"/>
    <w:rsid w:val="00E45F73"/>
    <w:rsid w:val="00E47306"/>
    <w:rsid w:val="00E501F4"/>
    <w:rsid w:val="00E50764"/>
    <w:rsid w:val="00E508AA"/>
    <w:rsid w:val="00E51528"/>
    <w:rsid w:val="00E522AA"/>
    <w:rsid w:val="00E52EDB"/>
    <w:rsid w:val="00E53219"/>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35A"/>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0D84"/>
    <w:rsid w:val="00E84641"/>
    <w:rsid w:val="00E85057"/>
    <w:rsid w:val="00E86A8F"/>
    <w:rsid w:val="00E86C2D"/>
    <w:rsid w:val="00E87492"/>
    <w:rsid w:val="00E87BC7"/>
    <w:rsid w:val="00E87C19"/>
    <w:rsid w:val="00E91B9B"/>
    <w:rsid w:val="00E922F0"/>
    <w:rsid w:val="00E92C3A"/>
    <w:rsid w:val="00E93750"/>
    <w:rsid w:val="00E93903"/>
    <w:rsid w:val="00E93FCD"/>
    <w:rsid w:val="00E9433C"/>
    <w:rsid w:val="00E94C6F"/>
    <w:rsid w:val="00E9562C"/>
    <w:rsid w:val="00E95DFD"/>
    <w:rsid w:val="00E96D32"/>
    <w:rsid w:val="00E96D9C"/>
    <w:rsid w:val="00E96E15"/>
    <w:rsid w:val="00E9738C"/>
    <w:rsid w:val="00E97B92"/>
    <w:rsid w:val="00E97EA4"/>
    <w:rsid w:val="00EA1B79"/>
    <w:rsid w:val="00EA22A6"/>
    <w:rsid w:val="00EA260F"/>
    <w:rsid w:val="00EA389C"/>
    <w:rsid w:val="00EA3904"/>
    <w:rsid w:val="00EA398C"/>
    <w:rsid w:val="00EA42DB"/>
    <w:rsid w:val="00EA4B9E"/>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342"/>
    <w:rsid w:val="00EC0D99"/>
    <w:rsid w:val="00EC1B24"/>
    <w:rsid w:val="00EC1DEB"/>
    <w:rsid w:val="00EC253F"/>
    <w:rsid w:val="00EC2B79"/>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114F"/>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D3C"/>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2D97"/>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353"/>
    <w:rsid w:val="00F6679D"/>
    <w:rsid w:val="00F71AAF"/>
    <w:rsid w:val="00F729E0"/>
    <w:rsid w:val="00F72C80"/>
    <w:rsid w:val="00F737A5"/>
    <w:rsid w:val="00F73D84"/>
    <w:rsid w:val="00F75535"/>
    <w:rsid w:val="00F75F12"/>
    <w:rsid w:val="00F76483"/>
    <w:rsid w:val="00F76A98"/>
    <w:rsid w:val="00F76DB4"/>
    <w:rsid w:val="00F7758C"/>
    <w:rsid w:val="00F7794E"/>
    <w:rsid w:val="00F8000E"/>
    <w:rsid w:val="00F800EE"/>
    <w:rsid w:val="00F80A82"/>
    <w:rsid w:val="00F81A79"/>
    <w:rsid w:val="00F822D2"/>
    <w:rsid w:val="00F83059"/>
    <w:rsid w:val="00F830A0"/>
    <w:rsid w:val="00F83128"/>
    <w:rsid w:val="00F83483"/>
    <w:rsid w:val="00F84535"/>
    <w:rsid w:val="00F84CFB"/>
    <w:rsid w:val="00F85482"/>
    <w:rsid w:val="00F855E7"/>
    <w:rsid w:val="00F85F16"/>
    <w:rsid w:val="00F864C1"/>
    <w:rsid w:val="00F86710"/>
    <w:rsid w:val="00F86B46"/>
    <w:rsid w:val="00F86D7E"/>
    <w:rsid w:val="00F8777C"/>
    <w:rsid w:val="00F901B9"/>
    <w:rsid w:val="00F90914"/>
    <w:rsid w:val="00F90BBD"/>
    <w:rsid w:val="00F90E8B"/>
    <w:rsid w:val="00F91261"/>
    <w:rsid w:val="00F91897"/>
    <w:rsid w:val="00F91B7E"/>
    <w:rsid w:val="00F91EDD"/>
    <w:rsid w:val="00F92089"/>
    <w:rsid w:val="00F926A4"/>
    <w:rsid w:val="00F93DB7"/>
    <w:rsid w:val="00F94C0F"/>
    <w:rsid w:val="00F959DE"/>
    <w:rsid w:val="00FA00A3"/>
    <w:rsid w:val="00FA0239"/>
    <w:rsid w:val="00FA2BD3"/>
    <w:rsid w:val="00FA2CEE"/>
    <w:rsid w:val="00FA4558"/>
    <w:rsid w:val="00FA5CC6"/>
    <w:rsid w:val="00FA60FB"/>
    <w:rsid w:val="00FA6447"/>
    <w:rsid w:val="00FA66BD"/>
    <w:rsid w:val="00FA671A"/>
    <w:rsid w:val="00FA68A4"/>
    <w:rsid w:val="00FA6CF7"/>
    <w:rsid w:val="00FA718F"/>
    <w:rsid w:val="00FA7DE2"/>
    <w:rsid w:val="00FB0B22"/>
    <w:rsid w:val="00FB0B36"/>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973"/>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E6104"/>
    <w:rsid w:val="00FF0044"/>
    <w:rsid w:val="00FF01F9"/>
    <w:rsid w:val="00FF075C"/>
    <w:rsid w:val="00FF0BDA"/>
    <w:rsid w:val="00FF0D4D"/>
    <w:rsid w:val="00FF1032"/>
    <w:rsid w:val="00FF1901"/>
    <w:rsid w:val="00FF20B0"/>
    <w:rsid w:val="00FF3DF2"/>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52E2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aliases w:val="Überschrift 1 Char"/>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aliases w:val="Überschrift 1 Char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aliases w:val="Überschrift 1 Char"/>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aliases w:val="Überschrift 1 Char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1424</Words>
  <Characters>8972</Characters>
  <Application>Microsoft Macintosh Word</Application>
  <DocSecurity>0</DocSecurity>
  <Lines>74</Lines>
  <Paragraphs>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40</cp:revision>
  <cp:lastPrinted>2012-11-29T11:03:00Z</cp:lastPrinted>
  <dcterms:created xsi:type="dcterms:W3CDTF">2013-01-24T11:56:00Z</dcterms:created>
  <dcterms:modified xsi:type="dcterms:W3CDTF">2013-01-24T19:23:00Z</dcterms:modified>
</cp:coreProperties>
</file>