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6F8E7"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15DE44A6" wp14:editId="0AFC4563">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7B87AC14" w14:textId="77777777" w:rsidR="000D11E1" w:rsidRPr="00FA66BD" w:rsidRDefault="000D11E1" w:rsidP="00580EBE">
      <w:pPr>
        <w:rPr>
          <w:rFonts w:asciiTheme="minorHAnsi" w:hAnsiTheme="minorHAnsi"/>
          <w:szCs w:val="24"/>
        </w:rPr>
      </w:pPr>
    </w:p>
    <w:p w14:paraId="1EE16644" w14:textId="77777777" w:rsidR="000D11E1" w:rsidRPr="00FA66BD" w:rsidRDefault="000D11E1" w:rsidP="00580EBE">
      <w:pPr>
        <w:rPr>
          <w:rFonts w:asciiTheme="minorHAnsi" w:hAnsiTheme="minorHAnsi"/>
          <w:szCs w:val="24"/>
        </w:rPr>
      </w:pPr>
    </w:p>
    <w:p w14:paraId="481D00DD" w14:textId="77777777" w:rsidR="000D11E1" w:rsidRPr="00FA66BD" w:rsidRDefault="000D11E1" w:rsidP="00580EBE">
      <w:pPr>
        <w:rPr>
          <w:rFonts w:asciiTheme="minorHAnsi" w:hAnsiTheme="minorHAnsi"/>
        </w:rPr>
      </w:pPr>
    </w:p>
    <w:p w14:paraId="1BB7070A"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0AFE9978" wp14:editId="64525467">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795BB8F"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26494E3E"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160F7B">
        <w:rPr>
          <w:rFonts w:asciiTheme="minorHAnsi" w:hAnsiTheme="minorHAnsi"/>
          <w:sz w:val="32"/>
          <w:szCs w:val="48"/>
        </w:rPr>
        <w:t>emester 2012-13 (Arbeitsblatt 14</w:t>
      </w:r>
      <w:r w:rsidR="00B65C9D">
        <w:rPr>
          <w:rFonts w:asciiTheme="minorHAnsi" w:hAnsiTheme="minorHAnsi"/>
          <w:sz w:val="32"/>
          <w:szCs w:val="48"/>
        </w:rPr>
        <w:t>)</w:t>
      </w:r>
    </w:p>
    <w:p w14:paraId="654B6C93"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457CDC05" wp14:editId="6211752B">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19912B41" w14:textId="77777777" w:rsidR="000D11E1" w:rsidRPr="00FA66BD" w:rsidRDefault="000D11E1" w:rsidP="00580EBE">
      <w:pPr>
        <w:rPr>
          <w:rFonts w:asciiTheme="minorHAnsi" w:hAnsiTheme="minorHAnsi"/>
          <w:sz w:val="12"/>
          <w:szCs w:val="12"/>
        </w:rPr>
      </w:pPr>
    </w:p>
    <w:p w14:paraId="71352D02"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160F7B">
        <w:rPr>
          <w:rFonts w:asciiTheme="minorHAnsi" w:hAnsiTheme="minorHAnsi"/>
          <w:sz w:val="28"/>
          <w:szCs w:val="32"/>
        </w:rPr>
        <w:t xml:space="preserve">1. Februar </w:t>
      </w:r>
      <w:r w:rsidR="002A6610">
        <w:rPr>
          <w:rFonts w:asciiTheme="minorHAnsi" w:hAnsiTheme="minorHAnsi"/>
          <w:sz w:val="28"/>
          <w:szCs w:val="32"/>
        </w:rPr>
        <w:t>2013</w:t>
      </w:r>
    </w:p>
    <w:p w14:paraId="200CA21C" w14:textId="77777777" w:rsidR="0003468F" w:rsidRDefault="0003468F" w:rsidP="008F4AA6">
      <w:pPr>
        <w:pStyle w:val="berschrift1"/>
      </w:pPr>
      <w:bookmarkStart w:id="0" w:name="_Toc211165368"/>
      <w:bookmarkStart w:id="1" w:name="OLE_LINK13"/>
      <w:bookmarkStart w:id="2" w:name="OLE_LINK14"/>
    </w:p>
    <w:p w14:paraId="1FB3D3BB" w14:textId="77777777" w:rsidR="0003468F" w:rsidRDefault="0003468F" w:rsidP="008F4AA6">
      <w:pPr>
        <w:pStyle w:val="berschrift1"/>
      </w:pPr>
    </w:p>
    <w:p w14:paraId="50CE7251" w14:textId="77777777" w:rsidR="0003468F" w:rsidRDefault="0003468F" w:rsidP="008F4AA6">
      <w:pPr>
        <w:pStyle w:val="berschrift1"/>
      </w:pPr>
    </w:p>
    <w:p w14:paraId="1B046EE9" w14:textId="77777777" w:rsidR="00E53219" w:rsidRPr="003E3366" w:rsidRDefault="00E53219" w:rsidP="00E53219">
      <w:pPr>
        <w:pStyle w:val="berschrift1"/>
        <w:rPr>
          <w:rFonts w:eastAsia="Calibri"/>
          <w:color w:val="auto"/>
          <w:sz w:val="24"/>
          <w:szCs w:val="24"/>
        </w:rPr>
      </w:pPr>
      <w:bookmarkStart w:id="3" w:name="_Toc220240174"/>
      <w:bookmarkEnd w:id="0"/>
      <w:bookmarkEnd w:id="1"/>
      <w:bookmarkEnd w:id="2"/>
      <w:r>
        <w:rPr>
          <w:szCs w:val="24"/>
        </w:rPr>
        <w:t>12. Der Kern des Gemeindeaufbaus: Die Grundentscheidungen</w:t>
      </w:r>
      <w:bookmarkEnd w:id="3"/>
    </w:p>
    <w:p w14:paraId="141FA030" w14:textId="77777777" w:rsidR="00E25DDA" w:rsidRDefault="00E25DDA" w:rsidP="00E25DDA">
      <w:pPr>
        <w:pStyle w:val="berschrift2"/>
      </w:pPr>
      <w:bookmarkStart w:id="4" w:name="_Toc220921711"/>
      <w:bookmarkStart w:id="5" w:name="OLE_LINK5"/>
      <w:bookmarkStart w:id="6" w:name="OLE_LINK7"/>
      <w:r>
        <w:t>12.4 Die Kernaufgabe: Geistliche Reisen (Pilgerwege) fördern, wo immer es geht</w:t>
      </w:r>
      <w:bookmarkEnd w:id="4"/>
    </w:p>
    <w:p w14:paraId="1C51061D" w14:textId="77777777" w:rsidR="00E25DDA" w:rsidRDefault="0089081C" w:rsidP="0089081C">
      <w:pPr>
        <w:jc w:val="center"/>
      </w:pPr>
      <w:r w:rsidRPr="0089081C">
        <w:rPr>
          <w:noProof/>
          <w:lang w:eastAsia="de-DE"/>
        </w:rPr>
        <w:drawing>
          <wp:inline distT="0" distB="0" distL="0" distR="0" wp14:anchorId="52C8EC27" wp14:editId="011885D7">
            <wp:extent cx="3429282" cy="2571962"/>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866" cy="2572400"/>
                    </a:xfrm>
                    <a:prstGeom prst="rect">
                      <a:avLst/>
                    </a:prstGeom>
                    <a:noFill/>
                    <a:ln>
                      <a:noFill/>
                    </a:ln>
                  </pic:spPr>
                </pic:pic>
              </a:graphicData>
            </a:graphic>
          </wp:inline>
        </w:drawing>
      </w:r>
      <w:bookmarkStart w:id="7" w:name="OLE_LINK8"/>
      <w:bookmarkStart w:id="8" w:name="OLE_LINK9"/>
      <w:bookmarkEnd w:id="5"/>
      <w:bookmarkEnd w:id="6"/>
      <w:r w:rsidR="00E25DDA">
        <w:rPr>
          <w:rStyle w:val="Funotenzeichen"/>
        </w:rPr>
        <w:footnoteReference w:id="1"/>
      </w:r>
      <w:bookmarkEnd w:id="7"/>
      <w:bookmarkEnd w:id="8"/>
    </w:p>
    <w:p w14:paraId="6B64549C" w14:textId="77777777" w:rsidR="00F63B40" w:rsidRDefault="00F63B40" w:rsidP="00E25DDA"/>
    <w:p w14:paraId="030EC8DB" w14:textId="77777777" w:rsidR="00F63B40" w:rsidRDefault="00F63B40" w:rsidP="00F63B40">
      <w:pPr>
        <w:jc w:val="center"/>
      </w:pPr>
      <w:r w:rsidRPr="00F63B40">
        <w:rPr>
          <w:noProof/>
          <w:lang w:eastAsia="de-DE"/>
        </w:rPr>
        <w:lastRenderedPageBreak/>
        <w:drawing>
          <wp:inline distT="0" distB="0" distL="0" distR="0" wp14:anchorId="24D32B46" wp14:editId="022AAD51">
            <wp:extent cx="3686387" cy="2764791"/>
            <wp:effectExtent l="0" t="0" r="0"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7517" cy="2765638"/>
                    </a:xfrm>
                    <a:prstGeom prst="rect">
                      <a:avLst/>
                    </a:prstGeom>
                    <a:noFill/>
                    <a:ln>
                      <a:noFill/>
                    </a:ln>
                  </pic:spPr>
                </pic:pic>
              </a:graphicData>
            </a:graphic>
          </wp:inline>
        </w:drawing>
      </w:r>
    </w:p>
    <w:p w14:paraId="693C277D" w14:textId="6A02CFF9" w:rsidR="00E25DDA" w:rsidRDefault="00E25DDA" w:rsidP="00DA5DAF">
      <w:r>
        <w:t xml:space="preserve">Die Rechtfertigungsbotschaft soll nicht nachträglich ausgehebelt werden. Andererseits </w:t>
      </w:r>
      <w:r w:rsidR="00DA5D41">
        <w:t xml:space="preserve">ist sie auch falsch verstanden, wenn </w:t>
      </w:r>
      <w:r>
        <w:t>Menschen gar nicht wachsen sollen, keine gewissen Erkenntnisse gewi</w:t>
      </w:r>
      <w:r>
        <w:t>n</w:t>
      </w:r>
      <w:r>
        <w:t>nen, mit bestimmten Lebensfragen nicht besser klarkommen oder füreina</w:t>
      </w:r>
      <w:r>
        <w:t>n</w:t>
      </w:r>
      <w:r>
        <w:t xml:space="preserve">der unzuverlässig bleiben. </w:t>
      </w:r>
    </w:p>
    <w:p w14:paraId="43C3CD84" w14:textId="77777777" w:rsidR="00E25DDA" w:rsidRDefault="00E25DDA" w:rsidP="00E25DDA">
      <w:pPr>
        <w:pStyle w:val="berschrift3"/>
      </w:pPr>
      <w:bookmarkStart w:id="9" w:name="_Toc220921712"/>
      <w:r>
        <w:t>12.4.1 Vom Punkt zum Prozess: Geistliche Lebenswege in der späten Moderne und in nach-christentümlicher Zeit</w:t>
      </w:r>
      <w:bookmarkEnd w:id="9"/>
    </w:p>
    <w:p w14:paraId="49B00909" w14:textId="77777777" w:rsidR="00DA5DAF" w:rsidRDefault="00DA5DAF" w:rsidP="00DA5DAF">
      <w:r>
        <w:t xml:space="preserve">Heute ist es schwierig, </w:t>
      </w:r>
      <w:r w:rsidR="00E25DDA">
        <w:t>Menschen auf ihrer eigenen geistlichen Reise so zu unterstützen, dass sie mündige und ihres Gl</w:t>
      </w:r>
      <w:r>
        <w:t xml:space="preserve">aubens gewisse Christen werden: 1.) </w:t>
      </w:r>
      <w:r w:rsidRPr="00DA5DAF">
        <w:t>Weggebr</w:t>
      </w:r>
      <w:r w:rsidRPr="00DA5DAF">
        <w:t>o</w:t>
      </w:r>
      <w:r w:rsidRPr="00DA5DAF">
        <w:t>chene kulturelle Stützung</w:t>
      </w:r>
      <w:r>
        <w:t xml:space="preserve">; 2.) </w:t>
      </w:r>
      <w:r w:rsidRPr="00DA5DAF">
        <w:t>Verlust der religiösen Primärsozialisation</w:t>
      </w:r>
      <w:r>
        <w:t xml:space="preserve">; 3.) </w:t>
      </w:r>
      <w:r w:rsidRPr="00DA5DAF">
        <w:t>Mobilität/Flexibilität versus Verwurzelung</w:t>
      </w:r>
      <w:r>
        <w:t xml:space="preserve">; 4.) </w:t>
      </w:r>
      <w:r w:rsidRPr="00DA5DAF">
        <w:t>Besche</w:t>
      </w:r>
      <w:r w:rsidRPr="00DA5DAF">
        <w:t>i</w:t>
      </w:r>
      <w:r w:rsidRPr="00DA5DAF">
        <w:t>dene kirchliche Perspektiven</w:t>
      </w:r>
      <w:r>
        <w:t xml:space="preserve">; 5.) </w:t>
      </w:r>
      <w:r w:rsidRPr="00DA5DAF">
        <w:t>Regional „forcierte Säkularität“</w:t>
      </w:r>
      <w:r>
        <w:t>.</w:t>
      </w:r>
    </w:p>
    <w:p w14:paraId="01576E13" w14:textId="14599546" w:rsidR="00DA5DAF" w:rsidRDefault="00E25DDA" w:rsidP="00E25DDA">
      <w:r>
        <w:t>Michael Moynagh definiert Evangelisation als „inviting people into the kingdom“.</w:t>
      </w:r>
      <w:r w:rsidR="00D4220A">
        <w:rPr>
          <w:rStyle w:val="Funotenzeichen"/>
        </w:rPr>
        <w:footnoteReference w:id="2"/>
      </w:r>
      <w:r>
        <w:t xml:space="preserve"> </w:t>
      </w:r>
      <w:r w:rsidR="00DA5DAF">
        <w:t xml:space="preserve">Er beschreibt </w:t>
      </w:r>
      <w:r>
        <w:t>drei Phasen des Verstä</w:t>
      </w:r>
      <w:r w:rsidR="00DA5DAF">
        <w:t>ndnisses von Glaubensbiographien, die sich nicht ablösen, sondern überlagern: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7314"/>
        <w:gridCol w:w="1974"/>
      </w:tblGrid>
      <w:tr w:rsidR="00D4220A" w14:paraId="19C2D450" w14:textId="77777777" w:rsidTr="00785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14" w:type="dxa"/>
            <w:tcBorders>
              <w:right w:val="none" w:sz="0" w:space="0" w:color="auto"/>
            </w:tcBorders>
            <w:shd w:val="clear" w:color="C0C0C0" w:fill="auto"/>
          </w:tcPr>
          <w:p w14:paraId="6B78FB39" w14:textId="3B628A94" w:rsidR="00D4220A" w:rsidRDefault="00D4220A" w:rsidP="00E25DDA">
            <w:r w:rsidRPr="00DA5DAF">
              <w:drawing>
                <wp:inline distT="0" distB="0" distL="0" distR="0" wp14:anchorId="7CD76147" wp14:editId="2CC9A53D">
                  <wp:extent cx="4333028" cy="3249771"/>
                  <wp:effectExtent l="0" t="0" r="10795" b="1905"/>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6379" cy="3252284"/>
                          </a:xfrm>
                          <a:prstGeom prst="rect">
                            <a:avLst/>
                          </a:prstGeom>
                          <a:noFill/>
                          <a:ln>
                            <a:noFill/>
                          </a:ln>
                        </pic:spPr>
                      </pic:pic>
                    </a:graphicData>
                  </a:graphic>
                </wp:inline>
              </w:drawing>
            </w:r>
            <w:r w:rsidRPr="00D4220A">
              <w:rPr>
                <w:rStyle w:val="Funotenzeichen"/>
                <w:b w:val="0"/>
                <w:sz w:val="22"/>
                <w:szCs w:val="22"/>
              </w:rPr>
              <w:footnoteReference w:id="3"/>
            </w:r>
          </w:p>
        </w:tc>
        <w:tc>
          <w:tcPr>
            <w:tcW w:w="1974" w:type="dxa"/>
            <w:shd w:val="clear" w:color="C0C0C0" w:fill="auto"/>
          </w:tcPr>
          <w:p w14:paraId="1BF1355B" w14:textId="77777777" w:rsidR="00D4220A" w:rsidRDefault="00D4220A" w:rsidP="00E25DDA">
            <w:pPr>
              <w:cnfStyle w:val="100000000000" w:firstRow="1" w:lastRow="0" w:firstColumn="0" w:lastColumn="0" w:oddVBand="0" w:evenVBand="0" w:oddHBand="0" w:evenHBand="0" w:firstRowFirstColumn="0" w:firstRowLastColumn="0" w:lastRowFirstColumn="0" w:lastRowLastColumn="0"/>
              <w:rPr>
                <w:b w:val="0"/>
                <w:sz w:val="22"/>
                <w:szCs w:val="22"/>
              </w:rPr>
            </w:pPr>
          </w:p>
          <w:p w14:paraId="1B4AA5AE" w14:textId="3C7CB370" w:rsidR="00D4220A" w:rsidRPr="00D4220A" w:rsidRDefault="00D4220A" w:rsidP="00E25DDA">
            <w:pPr>
              <w:cnfStyle w:val="100000000000" w:firstRow="1" w:lastRow="0" w:firstColumn="0" w:lastColumn="0" w:oddVBand="0" w:evenVBand="0" w:oddHBand="0" w:evenHBand="0" w:firstRowFirstColumn="0" w:firstRowLastColumn="0" w:lastRowFirstColumn="0" w:lastRowLastColumn="0"/>
              <w:rPr>
                <w:b w:val="0"/>
                <w:sz w:val="22"/>
                <w:szCs w:val="22"/>
              </w:rPr>
            </w:pPr>
            <w:r w:rsidRPr="00D4220A">
              <w:rPr>
                <w:b w:val="0"/>
                <w:sz w:val="22"/>
                <w:szCs w:val="22"/>
              </w:rPr>
              <w:t>Die Wege zum Glauben in unte</w:t>
            </w:r>
            <w:r w:rsidRPr="00D4220A">
              <w:rPr>
                <w:b w:val="0"/>
                <w:sz w:val="22"/>
                <w:szCs w:val="22"/>
              </w:rPr>
              <w:t>r</w:t>
            </w:r>
            <w:r w:rsidRPr="00D4220A">
              <w:rPr>
                <w:b w:val="0"/>
                <w:sz w:val="22"/>
                <w:szCs w:val="22"/>
              </w:rPr>
              <w:t>schiedlichsten G</w:t>
            </w:r>
            <w:r w:rsidRPr="00D4220A">
              <w:rPr>
                <w:b w:val="0"/>
                <w:sz w:val="22"/>
                <w:szCs w:val="22"/>
              </w:rPr>
              <w:t>e</w:t>
            </w:r>
            <w:r w:rsidRPr="00D4220A">
              <w:rPr>
                <w:b w:val="0"/>
                <w:sz w:val="22"/>
                <w:szCs w:val="22"/>
              </w:rPr>
              <w:t>meinschaften we</w:t>
            </w:r>
            <w:r w:rsidRPr="00D4220A">
              <w:rPr>
                <w:b w:val="0"/>
                <w:sz w:val="22"/>
                <w:szCs w:val="22"/>
              </w:rPr>
              <w:t>r</w:t>
            </w:r>
            <w:r w:rsidRPr="00D4220A">
              <w:rPr>
                <w:b w:val="0"/>
                <w:sz w:val="22"/>
                <w:szCs w:val="22"/>
              </w:rPr>
              <w:t>den so nicht nur länger, sie we</w:t>
            </w:r>
            <w:r w:rsidRPr="00D4220A">
              <w:rPr>
                <w:b w:val="0"/>
                <w:sz w:val="22"/>
                <w:szCs w:val="22"/>
              </w:rPr>
              <w:t>r</w:t>
            </w:r>
            <w:r w:rsidRPr="00D4220A">
              <w:rPr>
                <w:b w:val="0"/>
                <w:sz w:val="22"/>
                <w:szCs w:val="22"/>
              </w:rPr>
              <w:t>den auch indiv</w:t>
            </w:r>
            <w:r w:rsidRPr="00D4220A">
              <w:rPr>
                <w:b w:val="0"/>
                <w:sz w:val="22"/>
                <w:szCs w:val="22"/>
              </w:rPr>
              <w:t>i</w:t>
            </w:r>
            <w:r w:rsidRPr="00D4220A">
              <w:rPr>
                <w:b w:val="0"/>
                <w:sz w:val="22"/>
                <w:szCs w:val="22"/>
              </w:rPr>
              <w:t>dueller und unübersichtl</w:t>
            </w:r>
            <w:r w:rsidRPr="00D4220A">
              <w:rPr>
                <w:b w:val="0"/>
                <w:sz w:val="22"/>
                <w:szCs w:val="22"/>
              </w:rPr>
              <w:t>i</w:t>
            </w:r>
            <w:r w:rsidRPr="00D4220A">
              <w:rPr>
                <w:b w:val="0"/>
                <w:sz w:val="22"/>
                <w:szCs w:val="22"/>
              </w:rPr>
              <w:t>cher.</w:t>
            </w:r>
          </w:p>
        </w:tc>
      </w:tr>
    </w:tbl>
    <w:p w14:paraId="2BC2D077" w14:textId="30284DFC" w:rsidR="00E25DDA" w:rsidRDefault="00E25DDA" w:rsidP="00E25DDA">
      <w:pPr>
        <w:pStyle w:val="berschrift3"/>
      </w:pPr>
      <w:bookmarkStart w:id="10" w:name="_Toc220921713"/>
      <w:r>
        <w:t>12.4.2 Wie finden Erwachsene zum Glauben?</w:t>
      </w:r>
      <w:bookmarkEnd w:id="10"/>
      <w:r w:rsidR="00AC7B73">
        <w:rPr>
          <w:rStyle w:val="Funotenzeichen"/>
        </w:rPr>
        <w:footnoteReference w:id="4"/>
      </w:r>
    </w:p>
    <w:p w14:paraId="67D46E5E" w14:textId="77777777" w:rsidR="00F53920" w:rsidRPr="00F53920" w:rsidRDefault="00E25DDA" w:rsidP="00F53920">
      <w:pPr>
        <w:ind w:left="284"/>
        <w:rPr>
          <w:i/>
        </w:rPr>
      </w:pPr>
      <w:r w:rsidRPr="00F53920">
        <w:rPr>
          <w:i/>
        </w:rPr>
        <w:t>„Wenn die Kirche ein Herz hätte, ein Herz, das noch schlägt, dann würden Evangelisation und Mi</w:t>
      </w:r>
      <w:r w:rsidRPr="00F53920">
        <w:rPr>
          <w:i/>
        </w:rPr>
        <w:t>s</w:t>
      </w:r>
      <w:r w:rsidRPr="00F53920">
        <w:rPr>
          <w:i/>
        </w:rPr>
        <w:t>sion den Rhythmus des Herzens der Kirche in hohem Maße bestimmen. Und Defizite bei der miss</w:t>
      </w:r>
      <w:r w:rsidRPr="00F53920">
        <w:rPr>
          <w:i/>
        </w:rPr>
        <w:t>i</w:t>
      </w:r>
      <w:r w:rsidRPr="00F53920">
        <w:rPr>
          <w:i/>
        </w:rPr>
        <w:t>onarischen Tätigkeit der christlichen Kirche, Mängel beim Evangelisieren würden sofort zu schw</w:t>
      </w:r>
      <w:r w:rsidRPr="00F53920">
        <w:rPr>
          <w:i/>
        </w:rPr>
        <w:t>e</w:t>
      </w:r>
      <w:r w:rsidRPr="00F53920">
        <w:rPr>
          <w:i/>
        </w:rPr>
        <w:t>ren Herzrhythmusstörungen führen. Der Kreislauf des kirchlichen Lebens würde hypotonisch we</w:t>
      </w:r>
      <w:r w:rsidRPr="00F53920">
        <w:rPr>
          <w:i/>
        </w:rPr>
        <w:t>r</w:t>
      </w:r>
      <w:r w:rsidRPr="00F53920">
        <w:rPr>
          <w:i/>
        </w:rPr>
        <w:t>den. Wer an einem gesunden Kreislauf des kirchlichen Lebens interessiert ist, muss deshalb auch an Mission und Evangelisation interessiert sein.“</w:t>
      </w:r>
      <w:r w:rsidR="00F53920" w:rsidRPr="00F53920">
        <w:rPr>
          <w:i/>
        </w:rPr>
        <w:t xml:space="preserve"> (Eberhard Jüngel</w:t>
      </w:r>
      <w:r w:rsidRPr="00F53920">
        <w:rPr>
          <w:rStyle w:val="Funotenzeichen"/>
          <w:i/>
        </w:rPr>
        <w:footnoteReference w:id="5"/>
      </w:r>
      <w:r w:rsidR="00F53920" w:rsidRPr="00F53920">
        <w:rPr>
          <w:i/>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06"/>
        <w:gridCol w:w="4606"/>
      </w:tblGrid>
      <w:tr w:rsidR="009A4709" w14:paraId="786D1AA1" w14:textId="77777777" w:rsidTr="009A4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1E9BC852" w14:textId="77777777" w:rsidR="009A4709" w:rsidRDefault="009A4709" w:rsidP="009A4709">
            <w:pPr>
              <w:rPr>
                <w:b w:val="0"/>
                <w:sz w:val="22"/>
                <w:szCs w:val="22"/>
                <w:u w:val="single"/>
              </w:rPr>
            </w:pPr>
          </w:p>
          <w:p w14:paraId="68D37BB5" w14:textId="77777777" w:rsidR="009A4709" w:rsidRPr="009A4709" w:rsidRDefault="009A4709" w:rsidP="009A4709">
            <w:pPr>
              <w:rPr>
                <w:b w:val="0"/>
                <w:sz w:val="22"/>
                <w:szCs w:val="22"/>
              </w:rPr>
            </w:pPr>
            <w:r w:rsidRPr="009A4709">
              <w:rPr>
                <w:b w:val="0"/>
                <w:sz w:val="22"/>
                <w:szCs w:val="22"/>
                <w:u w:val="single"/>
              </w:rPr>
              <w:t>Konversion/Bekehrung</w:t>
            </w:r>
            <w:r w:rsidRPr="009A4709">
              <w:rPr>
                <w:b w:val="0"/>
                <w:sz w:val="22"/>
                <w:szCs w:val="22"/>
              </w:rPr>
              <w:t xml:space="preserve"> – Unwort oder notwe</w:t>
            </w:r>
            <w:r w:rsidRPr="009A4709">
              <w:rPr>
                <w:b w:val="0"/>
                <w:sz w:val="22"/>
                <w:szCs w:val="22"/>
              </w:rPr>
              <w:t>n</w:t>
            </w:r>
            <w:r w:rsidRPr="009A4709">
              <w:rPr>
                <w:b w:val="0"/>
                <w:sz w:val="22"/>
                <w:szCs w:val="22"/>
              </w:rPr>
              <w:t>dige Reaktion auf das Wort (in vielfältiger G</w:t>
            </w:r>
            <w:r w:rsidRPr="009A4709">
              <w:rPr>
                <w:b w:val="0"/>
                <w:sz w:val="22"/>
                <w:szCs w:val="22"/>
              </w:rPr>
              <w:t>e</w:t>
            </w:r>
            <w:r w:rsidRPr="009A4709">
              <w:rPr>
                <w:b w:val="0"/>
                <w:sz w:val="22"/>
                <w:szCs w:val="22"/>
              </w:rPr>
              <w:t>stalt)?</w:t>
            </w:r>
          </w:p>
          <w:p w14:paraId="143DB6D5" w14:textId="77777777" w:rsidR="009A4709" w:rsidRPr="009A4709" w:rsidRDefault="009A4709" w:rsidP="009A4709">
            <w:pPr>
              <w:rPr>
                <w:b w:val="0"/>
                <w:sz w:val="22"/>
                <w:szCs w:val="22"/>
              </w:rPr>
            </w:pPr>
            <w:r w:rsidRPr="009A4709">
              <w:rPr>
                <w:b w:val="0"/>
                <w:sz w:val="22"/>
                <w:szCs w:val="22"/>
              </w:rPr>
              <w:t xml:space="preserve">In der Greifswalder Studie umschließt der Begriff </w:t>
            </w:r>
            <w:r w:rsidRPr="009A4709">
              <w:rPr>
                <w:b w:val="0"/>
                <w:sz w:val="22"/>
                <w:szCs w:val="22"/>
                <w:u w:val="single"/>
              </w:rPr>
              <w:t>Glaubensveränderungen</w:t>
            </w:r>
            <w:r w:rsidRPr="009A4709">
              <w:rPr>
                <w:b w:val="0"/>
                <w:sz w:val="22"/>
                <w:szCs w:val="22"/>
              </w:rPr>
              <w:t>, die von denen, die sie erlebt haben, als so grundlegend erlebt und ve</w:t>
            </w:r>
            <w:r w:rsidRPr="009A4709">
              <w:rPr>
                <w:b w:val="0"/>
                <w:sz w:val="22"/>
                <w:szCs w:val="22"/>
              </w:rPr>
              <w:t>r</w:t>
            </w:r>
            <w:r w:rsidRPr="009A4709">
              <w:rPr>
                <w:b w:val="0"/>
                <w:sz w:val="22"/>
                <w:szCs w:val="22"/>
              </w:rPr>
              <w:t>standen wu</w:t>
            </w:r>
            <w:r w:rsidRPr="009A4709">
              <w:rPr>
                <w:b w:val="0"/>
                <w:sz w:val="22"/>
                <w:szCs w:val="22"/>
              </w:rPr>
              <w:t>r</w:t>
            </w:r>
            <w:r w:rsidRPr="009A4709">
              <w:rPr>
                <w:b w:val="0"/>
                <w:sz w:val="22"/>
                <w:szCs w:val="22"/>
              </w:rPr>
              <w:t>den, dass sie das religiöse Leben  z. B. in ein „vorher“ und „nachher“ au</w:t>
            </w:r>
            <w:r w:rsidRPr="009A4709">
              <w:rPr>
                <w:b w:val="0"/>
                <w:sz w:val="22"/>
                <w:szCs w:val="22"/>
              </w:rPr>
              <w:t>f</w:t>
            </w:r>
            <w:r w:rsidRPr="009A4709">
              <w:rPr>
                <w:b w:val="0"/>
                <w:sz w:val="22"/>
                <w:szCs w:val="22"/>
              </w:rPr>
              <w:t>teilen.</w:t>
            </w:r>
          </w:p>
          <w:p w14:paraId="4AB60BD9" w14:textId="591750F5" w:rsidR="009A4709" w:rsidRDefault="009A4709" w:rsidP="00E25DDA">
            <w:pPr>
              <w:rPr>
                <w:u w:val="single"/>
              </w:rPr>
            </w:pPr>
          </w:p>
        </w:tc>
        <w:tc>
          <w:tcPr>
            <w:tcW w:w="4606" w:type="dxa"/>
            <w:shd w:val="clear" w:color="C0C0C0" w:fill="auto"/>
          </w:tcPr>
          <w:p w14:paraId="44F14EE9" w14:textId="6E89A5EF" w:rsidR="009A4709" w:rsidRDefault="009A4709" w:rsidP="00E25DDA">
            <w:pPr>
              <w:cnfStyle w:val="100000000000" w:firstRow="1" w:lastRow="0" w:firstColumn="0" w:lastColumn="0" w:oddVBand="0" w:evenVBand="0" w:oddHBand="0" w:evenHBand="0" w:firstRowFirstColumn="0" w:firstRowLastColumn="0" w:lastRowFirstColumn="0" w:lastRowLastColumn="0"/>
              <w:rPr>
                <w:u w:val="single"/>
              </w:rPr>
            </w:pPr>
            <w:r w:rsidRPr="009A4709">
              <w:rPr>
                <w:u w:val="single"/>
              </w:rPr>
              <w:drawing>
                <wp:inline distT="0" distB="0" distL="0" distR="0" wp14:anchorId="31AFC759" wp14:editId="7FDFF2E6">
                  <wp:extent cx="1917268" cy="2766261"/>
                  <wp:effectExtent l="0" t="0" r="0" b="2540"/>
                  <wp:docPr id="10" name="Inhaltsplatzhalter 9" descr="978-3-7615-5762-4.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nhaltsplatzhalter 9" descr="978-3-7615-5762-4.jpg"/>
                          <pic:cNvPicPr>
                            <a:picLocks noGrp="1" noChangeAspect="1"/>
                          </pic:cNvPicPr>
                        </pic:nvPicPr>
                        <pic:blipFill rotWithShape="1">
                          <a:blip r:embed="rId12"/>
                          <a:srcRect l="-3227" r="-1951"/>
                          <a:stretch/>
                        </pic:blipFill>
                        <pic:spPr>
                          <a:xfrm>
                            <a:off x="0" y="0"/>
                            <a:ext cx="1917403" cy="2766455"/>
                          </a:xfrm>
                          <a:prstGeom prst="rect">
                            <a:avLst/>
                          </a:prstGeom>
                        </pic:spPr>
                      </pic:pic>
                    </a:graphicData>
                  </a:graphic>
                </wp:inline>
              </w:drawing>
            </w:r>
          </w:p>
        </w:tc>
      </w:tr>
    </w:tbl>
    <w:p w14:paraId="1065E089" w14:textId="113118FB" w:rsidR="00861F65" w:rsidRPr="00861F65" w:rsidRDefault="00E25DDA" w:rsidP="00E25DDA">
      <w:r w:rsidRPr="00861F65">
        <w:t xml:space="preserve">Schon die Tatsache, dass einige Hundert Teilnehmer für diese Studie gefunden wurden, zeigt: </w:t>
      </w:r>
      <w:r w:rsidRPr="00861F65">
        <w:rPr>
          <w:u w:val="single"/>
        </w:rPr>
        <w:t>Ko</w:t>
      </w:r>
      <w:r w:rsidRPr="00861F65">
        <w:rPr>
          <w:u w:val="single"/>
        </w:rPr>
        <w:t>n</w:t>
      </w:r>
      <w:r w:rsidRPr="00861F65">
        <w:rPr>
          <w:u w:val="single"/>
        </w:rPr>
        <w:t>version geschieht</w:t>
      </w:r>
      <w:r w:rsidRPr="00861F65">
        <w:t>, nicht nur an den Rändern der Kirche oder in pathologischen Ausnahmefällen. Sie geschieht bei Menschen mittleren Alters. Sie geschieht bei relativ gut gebildeten Menschen. Sie g</w:t>
      </w:r>
      <w:r w:rsidRPr="00861F65">
        <w:t>e</w:t>
      </w:r>
      <w:r w:rsidRPr="00861F65">
        <w:t>schieht bei Menschen mit und ohne kirchlich geprägte Lebensläufe. Sie geschieht nicht nur bei Me</w:t>
      </w:r>
      <w:r w:rsidRPr="00861F65">
        <w:t>n</w:t>
      </w:r>
      <w:r w:rsidRPr="00861F65">
        <w:t>schen in Krisen, sondern auch bei solchen, denen es offenkundig gut geht. Sie geschieht in ve</w:t>
      </w:r>
      <w:r w:rsidRPr="00861F65">
        <w:t>r</w:t>
      </w:r>
      <w:r w:rsidRPr="00861F65">
        <w:t>schiedensten kirchlichen Beheimatungen und spirituellen Hintergründen. Sie geschieht und scheint zumindest etliche des Lebens froher und des Glaubens an Jesus Christus gewisser zu machen. Sie g</w:t>
      </w:r>
      <w:r w:rsidRPr="00861F65">
        <w:t>e</w:t>
      </w:r>
      <w:r w:rsidRPr="00861F65">
        <w:t>schieht und reißt Menschen keineswegs aus der Kirche heraus; oft verstärkt sich die Bindung an die Kirche und die Bereitschaft mitzuwirken. Konversion geschieht einfach.</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994"/>
        <w:gridCol w:w="4294"/>
      </w:tblGrid>
      <w:tr w:rsidR="00861F65" w14:paraId="3D89DC09" w14:textId="77777777" w:rsidTr="00861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4" w:type="dxa"/>
            <w:tcBorders>
              <w:right w:val="none" w:sz="0" w:space="0" w:color="auto"/>
            </w:tcBorders>
            <w:shd w:val="clear" w:color="C0C0C0" w:fill="auto"/>
          </w:tcPr>
          <w:p w14:paraId="080E9298" w14:textId="65148642" w:rsidR="00861F65" w:rsidRDefault="00861F65" w:rsidP="00E25DDA">
            <w:r w:rsidRPr="00861F65">
              <w:drawing>
                <wp:inline distT="0" distB="0" distL="0" distR="0" wp14:anchorId="5F6F812B" wp14:editId="53BB3DBD">
                  <wp:extent cx="3034242" cy="2275682"/>
                  <wp:effectExtent l="0" t="0" r="0" b="10795"/>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242" cy="2275682"/>
                          </a:xfrm>
                          <a:prstGeom prst="rect">
                            <a:avLst/>
                          </a:prstGeom>
                          <a:noFill/>
                          <a:ln>
                            <a:noFill/>
                          </a:ln>
                        </pic:spPr>
                      </pic:pic>
                    </a:graphicData>
                  </a:graphic>
                </wp:inline>
              </w:drawing>
            </w:r>
          </w:p>
        </w:tc>
        <w:tc>
          <w:tcPr>
            <w:tcW w:w="4294" w:type="dxa"/>
            <w:shd w:val="clear" w:color="C0C0C0" w:fill="auto"/>
          </w:tcPr>
          <w:p w14:paraId="5284ABC4" w14:textId="77777777" w:rsidR="00861F65" w:rsidRDefault="00861F65" w:rsidP="00E25DDA">
            <w:pPr>
              <w:cnfStyle w:val="100000000000" w:firstRow="1" w:lastRow="0" w:firstColumn="0" w:lastColumn="0" w:oddVBand="0" w:evenVBand="0" w:oddHBand="0" w:evenHBand="0" w:firstRowFirstColumn="0" w:firstRowLastColumn="0" w:lastRowFirstColumn="0" w:lastRowLastColumn="0"/>
              <w:rPr>
                <w:rFonts w:asciiTheme="minorHAnsi" w:hAnsiTheme="minorHAnsi" w:cs="Lucida Grande"/>
                <w:b w:val="0"/>
                <w:sz w:val="22"/>
                <w:szCs w:val="22"/>
              </w:rPr>
            </w:pPr>
          </w:p>
          <w:p w14:paraId="46BE64E2" w14:textId="77777777" w:rsidR="00861F65" w:rsidRDefault="00861F65" w:rsidP="00E25DDA">
            <w:pPr>
              <w:cnfStyle w:val="100000000000" w:firstRow="1" w:lastRow="0" w:firstColumn="0" w:lastColumn="0" w:oddVBand="0" w:evenVBand="0" w:oddHBand="0" w:evenHBand="0" w:firstRowFirstColumn="0" w:firstRowLastColumn="0" w:lastRowFirstColumn="0" w:lastRowLastColumn="0"/>
              <w:rPr>
                <w:rFonts w:asciiTheme="minorHAnsi" w:hAnsiTheme="minorHAnsi" w:cs="Lucida Grande"/>
                <w:b w:val="0"/>
                <w:sz w:val="22"/>
                <w:szCs w:val="22"/>
              </w:rPr>
            </w:pPr>
          </w:p>
          <w:p w14:paraId="321A7F13" w14:textId="0141C08E" w:rsidR="00861F65" w:rsidRPr="00861F65" w:rsidRDefault="00861F65" w:rsidP="00E25DDA">
            <w:pPr>
              <w:cnfStyle w:val="100000000000" w:firstRow="1" w:lastRow="0" w:firstColumn="0" w:lastColumn="0" w:oddVBand="0" w:evenVBand="0" w:oddHBand="0" w:evenHBand="0" w:firstRowFirstColumn="0" w:firstRowLastColumn="0" w:lastRowFirstColumn="0" w:lastRowLastColumn="0"/>
              <w:rPr>
                <w:b w:val="0"/>
                <w:sz w:val="22"/>
                <w:szCs w:val="22"/>
              </w:rPr>
            </w:pPr>
            <w:r w:rsidRPr="00861F65">
              <w:rPr>
                <w:rFonts w:asciiTheme="minorHAnsi" w:hAnsiTheme="minorHAnsi" w:cs="Lucida Grande"/>
                <w:b w:val="0"/>
                <w:sz w:val="22"/>
                <w:szCs w:val="22"/>
              </w:rPr>
              <w:t>Das Wort erzeugt Resonanz, und die e</w:t>
            </w:r>
            <w:r w:rsidRPr="00861F65">
              <w:rPr>
                <w:rFonts w:asciiTheme="minorHAnsi" w:hAnsiTheme="minorHAnsi" w:cs="Lucida Grande"/>
                <w:b w:val="0"/>
                <w:sz w:val="22"/>
                <w:szCs w:val="22"/>
              </w:rPr>
              <w:t>r</w:t>
            </w:r>
            <w:r w:rsidRPr="00861F65">
              <w:rPr>
                <w:rFonts w:asciiTheme="minorHAnsi" w:hAnsiTheme="minorHAnsi" w:cs="Lucida Grande"/>
                <w:b w:val="0"/>
                <w:sz w:val="22"/>
                <w:szCs w:val="22"/>
              </w:rPr>
              <w:t>hoffte Resonanz auf das Wort ist der Glaube, der sich auch äußert.</w:t>
            </w:r>
            <w:r w:rsidRPr="00861F65">
              <w:rPr>
                <w:rStyle w:val="Funotenzeichen"/>
                <w:rFonts w:asciiTheme="minorHAnsi" w:hAnsiTheme="minorHAnsi" w:cs="Lucida Grande"/>
                <w:b w:val="0"/>
                <w:sz w:val="22"/>
                <w:szCs w:val="22"/>
              </w:rPr>
              <w:footnoteReference w:id="6"/>
            </w:r>
            <w:r w:rsidRPr="00861F65">
              <w:rPr>
                <w:rFonts w:asciiTheme="minorHAnsi" w:hAnsiTheme="minorHAnsi" w:cs="Lucida Grande"/>
                <w:b w:val="0"/>
                <w:sz w:val="22"/>
                <w:szCs w:val="22"/>
              </w:rPr>
              <w:t xml:space="preserve"> </w:t>
            </w:r>
          </w:p>
        </w:tc>
      </w:tr>
    </w:tbl>
    <w:p w14:paraId="32A83C26" w14:textId="7E28E9A0" w:rsidR="00861F65" w:rsidRPr="00861F65" w:rsidRDefault="00861F65" w:rsidP="00861F65">
      <w:r w:rsidRPr="00861F65">
        <w:t>Wir müssen Menschen nicht auf ihren geistlichen „status quo“ festschreiben.</w:t>
      </w:r>
      <w:r>
        <w:t xml:space="preserve"> </w:t>
      </w:r>
      <w:r w:rsidRPr="00861F65">
        <w:t>Weil aber (religiöse) Biographien</w:t>
      </w:r>
      <w:r>
        <w:t xml:space="preserve"> </w:t>
      </w:r>
      <w:r w:rsidRPr="00861F65">
        <w:t>heute so diskontinuierlich verlaufen, ist es nötig, Erwachsene Erst- und Wiedereinstiegs-Chancen zu eröffnen</w:t>
      </w:r>
      <w:r>
        <w:t xml:space="preserve">: nicht in erster </w:t>
      </w:r>
      <w:r w:rsidR="005F67D0">
        <w:t>Linie</w:t>
      </w:r>
      <w:r>
        <w:t xml:space="preserve"> bestimmte Bekehrungserlebnisse</w:t>
      </w:r>
      <w:r>
        <w:rPr>
          <w:rStyle w:val="Funotenzeichen"/>
        </w:rPr>
        <w:footnoteReference w:id="7"/>
      </w:r>
      <w:r>
        <w:t xml:space="preserve"> (die aber auch nicht schaden), aber die Grunderfahrung, dass Menschen Gott ihr Leben anvertrauen.</w:t>
      </w:r>
      <w:r>
        <w:rPr>
          <w:rStyle w:val="Funotenzeichen"/>
        </w:rPr>
        <w:footnoteReference w:id="8"/>
      </w:r>
    </w:p>
    <w:p w14:paraId="095EE863" w14:textId="1905D916" w:rsidR="00861F65" w:rsidRPr="00861F65" w:rsidRDefault="00861F65" w:rsidP="00E25DDA"/>
    <w:p w14:paraId="2EB76CC5" w14:textId="2B4FC243" w:rsidR="00861F65" w:rsidRDefault="00861F65" w:rsidP="00861F65">
      <w:pPr>
        <w:jc w:val="center"/>
      </w:pPr>
      <w:r w:rsidRPr="00861F65">
        <w:drawing>
          <wp:inline distT="0" distB="0" distL="0" distR="0" wp14:anchorId="19598E34" wp14:editId="28B804C5">
            <wp:extent cx="4151842" cy="3113882"/>
            <wp:effectExtent l="0" t="0" r="0" b="10795"/>
            <wp:docPr id="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1842" cy="3113882"/>
                    </a:xfrm>
                    <a:prstGeom prst="rect">
                      <a:avLst/>
                    </a:prstGeom>
                    <a:noFill/>
                    <a:ln>
                      <a:noFill/>
                    </a:ln>
                  </pic:spPr>
                </pic:pic>
              </a:graphicData>
            </a:graphic>
          </wp:inline>
        </w:drawing>
      </w:r>
      <w:r w:rsidR="005F67D0">
        <w:rPr>
          <w:rStyle w:val="Funotenzeichen"/>
        </w:rPr>
        <w:footnoteReference w:id="9"/>
      </w:r>
    </w:p>
    <w:p w14:paraId="4601AF9B" w14:textId="01865AE0" w:rsidR="00E25DDA" w:rsidRDefault="00E25DDA" w:rsidP="005F67D0">
      <w:pPr>
        <w:ind w:left="284"/>
        <w:rPr>
          <w:i/>
        </w:rPr>
      </w:pPr>
      <w:r w:rsidRPr="005F67D0">
        <w:rPr>
          <w:i/>
        </w:rPr>
        <w:t>„Ein Mensch ‚bekehrt sich‘ heißt […], dass religiöse Vorstellungen, die früher in seinem Bewuss</w:t>
      </w:r>
      <w:r w:rsidRPr="005F67D0">
        <w:rPr>
          <w:i/>
        </w:rPr>
        <w:t>t</w:t>
      </w:r>
      <w:r w:rsidRPr="005F67D0">
        <w:rPr>
          <w:i/>
        </w:rPr>
        <w:t>sein an der Peripherie lagen, jetzt eine zentrale Stelle einnehmen, und dass religiöse Ziele jetzt den gewoh</w:t>
      </w:r>
      <w:r w:rsidRPr="005F67D0">
        <w:rPr>
          <w:i/>
        </w:rPr>
        <w:t>n</w:t>
      </w:r>
      <w:r w:rsidRPr="005F67D0">
        <w:rPr>
          <w:i/>
        </w:rPr>
        <w:t>heitsmäßigen Mittelpunkt seines persönlichen Innenlebens bilden.“</w:t>
      </w:r>
      <w:r w:rsidR="005F67D0" w:rsidRPr="005F67D0">
        <w:rPr>
          <w:i/>
        </w:rPr>
        <w:t xml:space="preserve"> (William James</w:t>
      </w:r>
      <w:r w:rsidRPr="005F67D0">
        <w:rPr>
          <w:rStyle w:val="Funotenzeichen"/>
          <w:i/>
        </w:rPr>
        <w:footnoteReference w:id="10"/>
      </w:r>
      <w:r w:rsidR="005F67D0" w:rsidRPr="005F67D0">
        <w:rPr>
          <w:i/>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64"/>
        <w:gridCol w:w="4624"/>
      </w:tblGrid>
      <w:tr w:rsidR="00DB45C4" w14:paraId="6EF68DAC" w14:textId="77777777" w:rsidTr="00DB45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right w:val="none" w:sz="0" w:space="0" w:color="auto"/>
            </w:tcBorders>
            <w:shd w:val="clear" w:color="C0C0C0" w:fill="auto"/>
          </w:tcPr>
          <w:p w14:paraId="305A0462" w14:textId="12A51918" w:rsidR="00DB45C4" w:rsidRDefault="00DB45C4" w:rsidP="00DB45C4">
            <w:pPr>
              <w:rPr>
                <w:rFonts w:ascii="Lucida Grande" w:hAnsi="Lucida Grande" w:cs="Lucida Grande"/>
                <w:i/>
              </w:rPr>
            </w:pPr>
            <w:r w:rsidRPr="0050107D">
              <w:drawing>
                <wp:inline distT="0" distB="0" distL="0" distR="0" wp14:anchorId="62C0701A" wp14:editId="53125EC5">
                  <wp:extent cx="2866178" cy="2149633"/>
                  <wp:effectExtent l="0" t="0" r="4445" b="9525"/>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248" cy="2150435"/>
                          </a:xfrm>
                          <a:prstGeom prst="rect">
                            <a:avLst/>
                          </a:prstGeom>
                          <a:noFill/>
                          <a:ln>
                            <a:noFill/>
                          </a:ln>
                        </pic:spPr>
                      </pic:pic>
                    </a:graphicData>
                  </a:graphic>
                </wp:inline>
              </w:drawing>
            </w:r>
          </w:p>
        </w:tc>
        <w:tc>
          <w:tcPr>
            <w:tcW w:w="4644" w:type="dxa"/>
            <w:shd w:val="clear" w:color="C0C0C0" w:fill="auto"/>
          </w:tcPr>
          <w:p w14:paraId="0866E89D" w14:textId="0E8A9A09" w:rsidR="00DB45C4" w:rsidRDefault="00DB45C4" w:rsidP="00DB45C4">
            <w:pPr>
              <w:cnfStyle w:val="100000000000" w:firstRow="1" w:lastRow="0" w:firstColumn="0" w:lastColumn="0" w:oddVBand="0" w:evenVBand="0" w:oddHBand="0" w:evenHBand="0" w:firstRowFirstColumn="0" w:firstRowLastColumn="0" w:lastRowFirstColumn="0" w:lastRowLastColumn="0"/>
              <w:rPr>
                <w:rFonts w:ascii="Lucida Grande" w:hAnsi="Lucida Grande" w:cs="Lucida Grande"/>
                <w:i/>
              </w:rPr>
            </w:pPr>
            <w:r>
              <w:rPr>
                <w:rFonts w:ascii="Lucida Grande" w:hAnsi="Lucida Grande" w:cs="Lucida Grande"/>
                <w:i/>
                <w:noProof/>
                <w:lang w:eastAsia="de-DE"/>
              </w:rPr>
              <w:drawing>
                <wp:inline distT="0" distB="0" distL="0" distR="0" wp14:anchorId="385AAE3E" wp14:editId="2DA6A9A5">
                  <wp:extent cx="2844269" cy="2133122"/>
                  <wp:effectExtent l="0" t="0" r="635" b="635"/>
                  <wp:docPr id="1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6611" cy="2134879"/>
                          </a:xfrm>
                          <a:prstGeom prst="rect">
                            <a:avLst/>
                          </a:prstGeom>
                          <a:noFill/>
                          <a:ln>
                            <a:noFill/>
                          </a:ln>
                        </pic:spPr>
                      </pic:pic>
                    </a:graphicData>
                  </a:graphic>
                </wp:inline>
              </w:drawing>
            </w:r>
          </w:p>
        </w:tc>
      </w:tr>
    </w:tbl>
    <w:p w14:paraId="717C67A0" w14:textId="35B57ED0" w:rsidR="00DB45C4" w:rsidRPr="005F67D0" w:rsidRDefault="00DB45C4" w:rsidP="00DB45C4">
      <w:pPr>
        <w:jc w:val="center"/>
        <w:rPr>
          <w:rFonts w:ascii="Lucida Grande" w:hAnsi="Lucida Grande" w:cs="Lucida Grande"/>
          <w:i/>
        </w:rPr>
      </w:pPr>
      <w:r w:rsidRPr="00DB45C4">
        <w:rPr>
          <w:rFonts w:ascii="Lucida Grande" w:hAnsi="Lucida Grande" w:cs="Lucida Grande"/>
          <w:i/>
        </w:rPr>
        <w:drawing>
          <wp:inline distT="0" distB="0" distL="0" distR="0" wp14:anchorId="4E13736C" wp14:editId="156602D6">
            <wp:extent cx="2754842" cy="2066132"/>
            <wp:effectExtent l="0" t="0" r="0" b="0"/>
            <wp:docPr id="1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4842" cy="2066132"/>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5056"/>
        <w:gridCol w:w="4232"/>
      </w:tblGrid>
      <w:tr w:rsidR="006B29AA" w14:paraId="6047ED03" w14:textId="77777777" w:rsidTr="006B2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46B654BD" w14:textId="7FC8EE46" w:rsidR="006B29AA" w:rsidRDefault="006B29AA" w:rsidP="00E94D01">
            <w:pPr>
              <w:jc w:val="center"/>
            </w:pPr>
            <w:r w:rsidRPr="006B29AA">
              <w:drawing>
                <wp:inline distT="0" distB="0" distL="0" distR="0" wp14:anchorId="5A69E28C" wp14:editId="5A58E29F">
                  <wp:extent cx="3072977" cy="2304733"/>
                  <wp:effectExtent l="0" t="0" r="635" b="6985"/>
                  <wp:docPr id="1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4223" cy="2305668"/>
                          </a:xfrm>
                          <a:prstGeom prst="rect">
                            <a:avLst/>
                          </a:prstGeom>
                          <a:noFill/>
                          <a:ln>
                            <a:noFill/>
                          </a:ln>
                        </pic:spPr>
                      </pic:pic>
                    </a:graphicData>
                  </a:graphic>
                </wp:inline>
              </w:drawing>
            </w:r>
          </w:p>
        </w:tc>
        <w:tc>
          <w:tcPr>
            <w:tcW w:w="4606" w:type="dxa"/>
            <w:shd w:val="clear" w:color="C0C0C0" w:fill="auto"/>
          </w:tcPr>
          <w:p w14:paraId="429A1495" w14:textId="77777777" w:rsidR="006B29AA" w:rsidRDefault="006B29AA" w:rsidP="006B29AA">
            <w:pPr>
              <w:cnfStyle w:val="100000000000" w:firstRow="1" w:lastRow="0" w:firstColumn="0" w:lastColumn="0" w:oddVBand="0" w:evenVBand="0" w:oddHBand="0" w:evenHBand="0" w:firstRowFirstColumn="0" w:firstRowLastColumn="0" w:lastRowFirstColumn="0" w:lastRowLastColumn="0"/>
              <w:rPr>
                <w:b w:val="0"/>
                <w:sz w:val="22"/>
                <w:szCs w:val="22"/>
              </w:rPr>
            </w:pPr>
          </w:p>
          <w:p w14:paraId="2C146E39" w14:textId="77777777" w:rsidR="006B29AA" w:rsidRDefault="006B29AA" w:rsidP="006B29AA">
            <w:pPr>
              <w:cnfStyle w:val="100000000000" w:firstRow="1" w:lastRow="0" w:firstColumn="0" w:lastColumn="0" w:oddVBand="0" w:evenVBand="0" w:oddHBand="0" w:evenHBand="0" w:firstRowFirstColumn="0" w:firstRowLastColumn="0" w:lastRowFirstColumn="0" w:lastRowLastColumn="0"/>
              <w:rPr>
                <w:b w:val="0"/>
                <w:sz w:val="22"/>
                <w:szCs w:val="22"/>
              </w:rPr>
            </w:pPr>
          </w:p>
          <w:p w14:paraId="26D54F3C" w14:textId="77777777" w:rsidR="006B29AA" w:rsidRDefault="006B29AA" w:rsidP="006B29AA">
            <w:pPr>
              <w:cnfStyle w:val="100000000000" w:firstRow="1" w:lastRow="0" w:firstColumn="0" w:lastColumn="0" w:oddVBand="0" w:evenVBand="0" w:oddHBand="0" w:evenHBand="0" w:firstRowFirstColumn="0" w:firstRowLastColumn="0" w:lastRowFirstColumn="0" w:lastRowLastColumn="0"/>
              <w:rPr>
                <w:b w:val="0"/>
                <w:sz w:val="22"/>
                <w:szCs w:val="22"/>
              </w:rPr>
            </w:pPr>
          </w:p>
          <w:p w14:paraId="6B3492C1" w14:textId="21E14082" w:rsidR="006B29AA" w:rsidRPr="006B29AA" w:rsidRDefault="006B29AA" w:rsidP="006B29AA">
            <w:pPr>
              <w:cnfStyle w:val="100000000000" w:firstRow="1" w:lastRow="0" w:firstColumn="0" w:lastColumn="0" w:oddVBand="0" w:evenVBand="0" w:oddHBand="0" w:evenHBand="0" w:firstRowFirstColumn="0" w:firstRowLastColumn="0" w:lastRowFirstColumn="0" w:lastRowLastColumn="0"/>
              <w:rPr>
                <w:b w:val="0"/>
                <w:sz w:val="22"/>
                <w:szCs w:val="22"/>
              </w:rPr>
            </w:pPr>
            <w:r w:rsidRPr="006B29AA">
              <w:rPr>
                <w:b w:val="0"/>
                <w:sz w:val="22"/>
                <w:szCs w:val="22"/>
              </w:rPr>
              <w:t>Vergewisserung: 35%</w:t>
            </w:r>
          </w:p>
          <w:p w14:paraId="19E2B067" w14:textId="785DD3FA" w:rsidR="006B29AA" w:rsidRPr="006B29AA" w:rsidRDefault="006B29AA" w:rsidP="006B29AA">
            <w:pPr>
              <w:cnfStyle w:val="100000000000" w:firstRow="1" w:lastRow="0" w:firstColumn="0" w:lastColumn="0" w:oddVBand="0" w:evenVBand="0" w:oddHBand="0" w:evenHBand="0" w:firstRowFirstColumn="0" w:firstRowLastColumn="0" w:lastRowFirstColumn="0" w:lastRowLastColumn="0"/>
              <w:rPr>
                <w:b w:val="0"/>
                <w:sz w:val="22"/>
                <w:szCs w:val="22"/>
              </w:rPr>
            </w:pPr>
            <w:r w:rsidRPr="006B29AA">
              <w:rPr>
                <w:b w:val="0"/>
                <w:sz w:val="22"/>
                <w:szCs w:val="22"/>
              </w:rPr>
              <w:t>Entdeckung: 41%</w:t>
            </w:r>
          </w:p>
          <w:p w14:paraId="5BDD9FCA" w14:textId="22F1EF40" w:rsidR="006B29AA" w:rsidRDefault="006B29AA" w:rsidP="006B29AA">
            <w:pPr>
              <w:cnfStyle w:val="100000000000" w:firstRow="1" w:lastRow="0" w:firstColumn="0" w:lastColumn="0" w:oddVBand="0" w:evenVBand="0" w:oddHBand="0" w:evenHBand="0" w:firstRowFirstColumn="0" w:firstRowLastColumn="0" w:lastRowFirstColumn="0" w:lastRowLastColumn="0"/>
            </w:pPr>
            <w:r w:rsidRPr="006B29AA">
              <w:rPr>
                <w:b w:val="0"/>
                <w:sz w:val="22"/>
                <w:szCs w:val="22"/>
              </w:rPr>
              <w:t>Lebenswende: 24%</w:t>
            </w:r>
          </w:p>
        </w:tc>
      </w:tr>
    </w:tbl>
    <w:p w14:paraId="1A0609C6" w14:textId="3D96647D" w:rsidR="006B29AA" w:rsidRDefault="006B29AA" w:rsidP="00E94D01">
      <w:pPr>
        <w:jc w:val="center"/>
      </w:pPr>
      <w:r w:rsidRPr="006B29AA">
        <w:drawing>
          <wp:inline distT="0" distB="0" distL="0" distR="0" wp14:anchorId="34E03F73" wp14:editId="51F18B06">
            <wp:extent cx="3420321" cy="2565241"/>
            <wp:effectExtent l="0" t="0" r="8890" b="635"/>
            <wp:docPr id="2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1186" cy="2565890"/>
                    </a:xfrm>
                    <a:prstGeom prst="rect">
                      <a:avLst/>
                    </a:prstGeom>
                    <a:noFill/>
                    <a:ln>
                      <a:noFill/>
                    </a:ln>
                  </pic:spPr>
                </pic:pic>
              </a:graphicData>
            </a:graphic>
          </wp:inline>
        </w:drawing>
      </w:r>
    </w:p>
    <w:p w14:paraId="699838E1" w14:textId="66B52B15" w:rsidR="00153989" w:rsidRDefault="00153989" w:rsidP="00153989">
      <w:pPr>
        <w:jc w:val="center"/>
      </w:pPr>
      <w:r w:rsidRPr="00153989">
        <w:drawing>
          <wp:inline distT="0" distB="0" distL="0" distR="0" wp14:anchorId="683D5DB8" wp14:editId="6E06B798">
            <wp:extent cx="3872442" cy="2904332"/>
            <wp:effectExtent l="0" t="0" r="0" b="0"/>
            <wp:docPr id="2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2442" cy="2904332"/>
                    </a:xfrm>
                    <a:prstGeom prst="rect">
                      <a:avLst/>
                    </a:prstGeom>
                    <a:noFill/>
                    <a:ln>
                      <a:noFill/>
                    </a:ln>
                  </pic:spPr>
                </pic:pic>
              </a:graphicData>
            </a:graphic>
          </wp:inline>
        </w:drawing>
      </w:r>
    </w:p>
    <w:p w14:paraId="604E4E5B" w14:textId="77777777" w:rsidR="00153989" w:rsidRDefault="00153989" w:rsidP="00E25DDA"/>
    <w:p w14:paraId="0129B189" w14:textId="77777777" w:rsidR="009A4709" w:rsidRDefault="009A4709">
      <w:pPr>
        <w:spacing w:after="0" w:line="240" w:lineRule="auto"/>
      </w:pPr>
      <w:r>
        <w:br w:type="page"/>
      </w:r>
    </w:p>
    <w:p w14:paraId="16D434BE" w14:textId="6DC6DD6E" w:rsidR="00E25DDA" w:rsidRDefault="00E25DDA" w:rsidP="00E25DDA">
      <w:r>
        <w:t>Andrew Wingate spricht von Zug- und Schubfaktoren, die dazu beitragen, dass ein Mensch Beke</w:t>
      </w:r>
      <w:r>
        <w:t>h</w:t>
      </w:r>
      <w:r>
        <w:t>rung erlebt.</w:t>
      </w:r>
      <w:r w:rsidR="00285751">
        <w:rPr>
          <w:rStyle w:val="Funotenzeichen"/>
        </w:rPr>
        <w:footnoteReference w:id="11"/>
      </w:r>
      <w:r>
        <w:t xml:space="preserve"> Was also sind solche Zug- und Schubfakt</w:t>
      </w:r>
      <w:r>
        <w:t>o</w:t>
      </w:r>
      <w:r>
        <w:t>ren?</w:t>
      </w:r>
      <w:r w:rsidR="00F52639">
        <w:t xml:space="preserve"> Fünf Kernsätze:</w:t>
      </w:r>
    </w:p>
    <w:p w14:paraId="65F8245A" w14:textId="77777777" w:rsidR="00E25DDA" w:rsidRPr="00D454AF" w:rsidRDefault="00E25DDA" w:rsidP="00E25DDA">
      <w:pPr>
        <w:pStyle w:val="berschrift4"/>
      </w:pPr>
      <w:bookmarkStart w:id="11" w:name="_Toc220921714"/>
      <w:r w:rsidRPr="00D454AF">
        <w:t xml:space="preserve">Erster Kernsatz: </w:t>
      </w:r>
      <w:bookmarkStart w:id="12" w:name="OLE_LINK2"/>
      <w:r w:rsidRPr="00D454AF">
        <w:t>Erwachsene, die zum Glauben finden, profitieren von einem Netzwerk guter Bezi</w:t>
      </w:r>
      <w:r w:rsidRPr="00D454AF">
        <w:t>e</w:t>
      </w:r>
      <w:r w:rsidRPr="00D454AF">
        <w:t>hungen!</w:t>
      </w:r>
      <w:bookmarkEnd w:id="11"/>
      <w:r w:rsidRPr="00D454AF">
        <w:t xml:space="preserve"> </w:t>
      </w:r>
      <w:bookmarkEnd w:id="12"/>
    </w:p>
    <w:p w14:paraId="1CAA6BE6" w14:textId="77777777" w:rsidR="00F52639" w:rsidRDefault="00F52639" w:rsidP="00F52639">
      <w:pPr>
        <w:pStyle w:val="berschrift4"/>
        <w:jc w:val="center"/>
      </w:pPr>
      <w:bookmarkStart w:id="13" w:name="_Toc220921715"/>
      <w:r w:rsidRPr="00F52639">
        <w:rPr>
          <w:rFonts w:eastAsia="Calibri"/>
          <w:color w:val="auto"/>
        </w:rPr>
        <w:drawing>
          <wp:inline distT="0" distB="0" distL="0" distR="0" wp14:anchorId="5B790DA1" wp14:editId="6CB952CD">
            <wp:extent cx="3732742" cy="2799557"/>
            <wp:effectExtent l="0" t="0" r="1270" b="0"/>
            <wp:docPr id="2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2742" cy="2799557"/>
                    </a:xfrm>
                    <a:prstGeom prst="rect">
                      <a:avLst/>
                    </a:prstGeom>
                    <a:noFill/>
                    <a:ln>
                      <a:noFill/>
                    </a:ln>
                  </pic:spPr>
                </pic:pic>
              </a:graphicData>
            </a:graphic>
          </wp:inline>
        </w:drawing>
      </w:r>
    </w:p>
    <w:p w14:paraId="246893FC" w14:textId="50FA1FE9" w:rsidR="00E25DDA" w:rsidRDefault="00E25DDA" w:rsidP="00F52639">
      <w:pPr>
        <w:pStyle w:val="berschrift4"/>
      </w:pPr>
      <w:r w:rsidRPr="00D454AF">
        <w:t xml:space="preserve">Zweiter Kernsatz: </w:t>
      </w:r>
      <w:bookmarkStart w:id="14" w:name="OLE_LINK12"/>
      <w:r w:rsidRPr="00D454AF">
        <w:t>Erwachsene, die zum Glauben finden, nutzen ebenso eine Fülle kirchlicher Vera</w:t>
      </w:r>
      <w:r w:rsidRPr="00D454AF">
        <w:t>n</w:t>
      </w:r>
      <w:r w:rsidRPr="00D454AF">
        <w:t>staltungen!</w:t>
      </w:r>
      <w:bookmarkEnd w:id="13"/>
      <w:bookmarkEnd w:id="14"/>
    </w:p>
    <w:p w14:paraId="0E76BCC7" w14:textId="0F2B8C77" w:rsidR="00D2540E" w:rsidRPr="00D2540E" w:rsidRDefault="00D2540E" w:rsidP="00D2540E">
      <w:pPr>
        <w:jc w:val="center"/>
      </w:pPr>
      <w:r w:rsidRPr="00D2540E">
        <w:drawing>
          <wp:inline distT="0" distB="0" distL="0" distR="0" wp14:anchorId="3CC241F5" wp14:editId="21BB7678">
            <wp:extent cx="3384762" cy="2538572"/>
            <wp:effectExtent l="0" t="0" r="0" b="1905"/>
            <wp:docPr id="2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5412" cy="2539059"/>
                    </a:xfrm>
                    <a:prstGeom prst="rect">
                      <a:avLst/>
                    </a:prstGeom>
                    <a:noFill/>
                    <a:ln>
                      <a:noFill/>
                    </a:ln>
                  </pic:spPr>
                </pic:pic>
              </a:graphicData>
            </a:graphic>
          </wp:inline>
        </w:drawing>
      </w:r>
    </w:p>
    <w:p w14:paraId="5BABB217" w14:textId="77777777" w:rsidR="00E25DDA" w:rsidRPr="006E5755" w:rsidRDefault="00E25DDA" w:rsidP="00E25DDA">
      <w:pPr>
        <w:pStyle w:val="berschrift4"/>
      </w:pPr>
      <w:bookmarkStart w:id="15" w:name="_Toc220921716"/>
      <w:r w:rsidRPr="006E5755">
        <w:t>Dritter Kernsatz: Für Erwachsene, die zum Glauben finden, haben zurzeit Glaubenskurse Hochko</w:t>
      </w:r>
      <w:r w:rsidRPr="006E5755">
        <w:t>n</w:t>
      </w:r>
      <w:r w:rsidRPr="006E5755">
        <w:t>junktur.</w:t>
      </w:r>
      <w:bookmarkEnd w:id="15"/>
    </w:p>
    <w:p w14:paraId="36F90865" w14:textId="4625940D" w:rsidR="003A6BF7" w:rsidRDefault="003A6BF7" w:rsidP="003A6BF7">
      <w:pPr>
        <w:pStyle w:val="berschrift4"/>
        <w:jc w:val="center"/>
      </w:pPr>
      <w:bookmarkStart w:id="16" w:name="_Toc220921717"/>
      <w:r w:rsidRPr="003A6BF7">
        <w:drawing>
          <wp:inline distT="0" distB="0" distL="0" distR="0" wp14:anchorId="764A2C93" wp14:editId="3E2960D7">
            <wp:extent cx="3243792" cy="2432844"/>
            <wp:effectExtent l="0" t="0" r="7620" b="5715"/>
            <wp:docPr id="2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3792" cy="2432844"/>
                    </a:xfrm>
                    <a:prstGeom prst="rect">
                      <a:avLst/>
                    </a:prstGeom>
                    <a:noFill/>
                    <a:ln>
                      <a:noFill/>
                    </a:ln>
                  </pic:spPr>
                </pic:pic>
              </a:graphicData>
            </a:graphic>
          </wp:inline>
        </w:drawing>
      </w:r>
    </w:p>
    <w:p w14:paraId="1E74AC7F" w14:textId="77777777" w:rsidR="00E25DDA" w:rsidRPr="00AF4810" w:rsidRDefault="00E25DDA" w:rsidP="00E25DDA">
      <w:pPr>
        <w:pStyle w:val="berschrift4"/>
      </w:pPr>
      <w:r w:rsidRPr="00AF4810">
        <w:t>Vierter Kernsatz: Erwachsene, die zum Glauben finden, machen neue Erfahrungen mit dem Beten.</w:t>
      </w:r>
      <w:bookmarkEnd w:id="16"/>
    </w:p>
    <w:p w14:paraId="5474FC0F" w14:textId="1278295C" w:rsidR="003A6BF7" w:rsidRDefault="003A6BF7" w:rsidP="00AF7521">
      <w:pPr>
        <w:pStyle w:val="berschrift4"/>
        <w:jc w:val="center"/>
      </w:pPr>
      <w:bookmarkStart w:id="17" w:name="_Toc220921718"/>
      <w:r w:rsidRPr="003A6BF7">
        <w:drawing>
          <wp:inline distT="0" distB="0" distL="0" distR="0" wp14:anchorId="0737C616" wp14:editId="2DC85CA4">
            <wp:extent cx="3213312" cy="2409984"/>
            <wp:effectExtent l="0" t="0" r="0" b="3175"/>
            <wp:docPr id="2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3531" cy="2410149"/>
                    </a:xfrm>
                    <a:prstGeom prst="rect">
                      <a:avLst/>
                    </a:prstGeom>
                    <a:noFill/>
                    <a:ln>
                      <a:noFill/>
                    </a:ln>
                  </pic:spPr>
                </pic:pic>
              </a:graphicData>
            </a:graphic>
          </wp:inline>
        </w:drawing>
      </w:r>
    </w:p>
    <w:p w14:paraId="68A443F9" w14:textId="77777777" w:rsidR="00E25DDA" w:rsidRPr="006D4EEF" w:rsidRDefault="00E25DDA" w:rsidP="00E25DDA">
      <w:pPr>
        <w:pStyle w:val="berschrift4"/>
      </w:pPr>
      <w:r>
        <w:t xml:space="preserve">Fünfter </w:t>
      </w:r>
      <w:r w:rsidRPr="006D4EEF">
        <w:t xml:space="preserve">Kernsatz: </w:t>
      </w:r>
      <w:bookmarkStart w:id="18" w:name="OLE_LINK16"/>
      <w:r w:rsidRPr="006D4EEF">
        <w:t>Erwachsene, die zum Glauben finden, schätzen es nicht immer, aber doch häufig, wenn ihr Ja zum Glauben in ein „Erlebnis in Gemeinschaft“ eingebettet wird.</w:t>
      </w:r>
      <w:bookmarkEnd w:id="17"/>
      <w:bookmarkEnd w:id="18"/>
    </w:p>
    <w:p w14:paraId="7A96C196" w14:textId="6EFFFDEC" w:rsidR="00AF7521" w:rsidRDefault="00AF7521" w:rsidP="00AF7521">
      <w:pPr>
        <w:jc w:val="center"/>
      </w:pPr>
      <w:r w:rsidRPr="00AF7521">
        <w:drawing>
          <wp:inline distT="0" distB="0" distL="0" distR="0" wp14:anchorId="2560B4D1" wp14:editId="4F174EBF">
            <wp:extent cx="3383492" cy="2537619"/>
            <wp:effectExtent l="0" t="0" r="0" b="254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492" cy="2537619"/>
                    </a:xfrm>
                    <a:prstGeom prst="rect">
                      <a:avLst/>
                    </a:prstGeom>
                    <a:noFill/>
                    <a:ln>
                      <a:noFill/>
                    </a:ln>
                  </pic:spPr>
                </pic:pic>
              </a:graphicData>
            </a:graphic>
          </wp:inline>
        </w:drawing>
      </w:r>
    </w:p>
    <w:p w14:paraId="54852C35" w14:textId="77777777" w:rsidR="00E25DDA" w:rsidRDefault="00E25DDA" w:rsidP="00E25DDA">
      <w:pPr>
        <w:pStyle w:val="berschrift3"/>
      </w:pPr>
      <w:bookmarkStart w:id="19" w:name="_Toc220921719"/>
      <w:r>
        <w:t>12.4.3 Gemeinde als „Gewächshaus“ des Glaubens</w:t>
      </w:r>
      <w:r>
        <w:rPr>
          <w:rStyle w:val="Funotenzeichen"/>
        </w:rPr>
        <w:footnoteReference w:id="12"/>
      </w:r>
      <w:bookmarkEnd w:id="19"/>
    </w:p>
    <w:p w14:paraId="001182DF" w14:textId="7D1BFB56" w:rsidR="00E25DDA" w:rsidRDefault="005F2A5F" w:rsidP="00E25DDA">
      <w:pPr>
        <w:pStyle w:val="Listenabsatz"/>
        <w:numPr>
          <w:ilvl w:val="0"/>
          <w:numId w:val="46"/>
        </w:numPr>
        <w:spacing w:after="200"/>
      </w:pPr>
      <w:r>
        <w:t xml:space="preserve">Der </w:t>
      </w:r>
      <w:r w:rsidR="00E25DDA">
        <w:t xml:space="preserve">Glaube </w:t>
      </w:r>
      <w:r>
        <w:t xml:space="preserve">überlebt nicht </w:t>
      </w:r>
      <w:r w:rsidR="00E25DDA">
        <w:t xml:space="preserve">ohne Gemeinschaft nicht überlebt, und das Heil, das Christus schenkt, </w:t>
      </w:r>
      <w:r>
        <w:t xml:space="preserve">ist </w:t>
      </w:r>
      <w:r w:rsidR="00E25DDA">
        <w:t>ein soziales Heil. Darum kann nicht Gott zum Vater haben, wer nicht auch ve</w:t>
      </w:r>
      <w:r w:rsidR="00E25DDA">
        <w:t>r</w:t>
      </w:r>
      <w:r w:rsidR="00E25DDA">
        <w:t>bindlich und verlässlich bei den Schwestern und Brüdern auf Erden ist. Darum ist das ein schwieriger, aber lebenswichtiger Schritt, dass Menschen nicht nur glauben lernen, sondern sich auch verlässlich in der Gemeinde beheimaten – und umgekehrt dort auch He</w:t>
      </w:r>
      <w:r w:rsidR="00E25DDA">
        <w:t>i</w:t>
      </w:r>
      <w:r w:rsidR="00E25DDA">
        <w:t>mat finden, wo sie willkommen sind und Förderung im Glauben erleben.</w:t>
      </w:r>
    </w:p>
    <w:p w14:paraId="3AD6666D" w14:textId="21EFE910" w:rsidR="00E25DDA" w:rsidRDefault="005F2A5F" w:rsidP="00E25DDA">
      <w:pPr>
        <w:pStyle w:val="Listenabsatz"/>
        <w:numPr>
          <w:ilvl w:val="0"/>
          <w:numId w:val="46"/>
        </w:numPr>
        <w:spacing w:after="200"/>
      </w:pPr>
      <w:r>
        <w:t xml:space="preserve">Zum </w:t>
      </w:r>
      <w:r w:rsidR="00E25DDA">
        <w:t xml:space="preserve">Glauben </w:t>
      </w:r>
      <w:r>
        <w:t xml:space="preserve">gehört </w:t>
      </w:r>
      <w:r w:rsidR="00E25DDA">
        <w:t>dann auch das Entdecken der eigenen Gaben und deren Einsatz in G</w:t>
      </w:r>
      <w:r w:rsidR="00E25DDA">
        <w:t>e</w:t>
      </w:r>
      <w:r w:rsidR="00E25DDA">
        <w:t xml:space="preserve">meinde, Beruf, Gesellschaft. Es geht immer wieder darum, vor einem Christsein zu schützen, das dem „consumerism“ verfällt. </w:t>
      </w:r>
    </w:p>
    <w:p w14:paraId="6240034D" w14:textId="19769743" w:rsidR="0023352B" w:rsidRDefault="0023352B" w:rsidP="0023352B">
      <w:pPr>
        <w:jc w:val="center"/>
      </w:pPr>
      <w:r w:rsidRPr="0023352B">
        <w:drawing>
          <wp:inline distT="0" distB="0" distL="0" distR="0" wp14:anchorId="0DFD16EF" wp14:editId="3B9EBE64">
            <wp:extent cx="4616662" cy="3462498"/>
            <wp:effectExtent l="0" t="0" r="6350" b="0"/>
            <wp:docPr id="2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7650" cy="3463239"/>
                    </a:xfrm>
                    <a:prstGeom prst="rect">
                      <a:avLst/>
                    </a:prstGeom>
                    <a:noFill/>
                    <a:ln>
                      <a:noFill/>
                    </a:ln>
                  </pic:spPr>
                </pic:pic>
              </a:graphicData>
            </a:graphic>
          </wp:inline>
        </w:drawing>
      </w:r>
      <w:r>
        <w:rPr>
          <w:rStyle w:val="Funotenzeichen"/>
        </w:rPr>
        <w:footnoteReference w:id="13"/>
      </w:r>
    </w:p>
    <w:p w14:paraId="24030C39" w14:textId="68008E12" w:rsidR="00E25DDA" w:rsidRDefault="00E25DDA" w:rsidP="00E25DDA">
      <w:r>
        <w:t xml:space="preserve">In der Religionspsychologie sagt man, dass die Religiosität von Menschen zunehmen kann, wenn die Inhalte des Glaubens klarer und die Bedeutung des Glaubens zentraler wird. </w:t>
      </w:r>
      <w:r w:rsidR="008C3F48">
        <w:t>Um so etwas zu erfo</w:t>
      </w:r>
      <w:r w:rsidR="008C3F48">
        <w:t>r</w:t>
      </w:r>
      <w:r w:rsidR="008C3F48">
        <w:t xml:space="preserve">schen, </w:t>
      </w:r>
      <w:r>
        <w:t>schaut man auf die inhaltlichen Überzeugungen, die persönliche Glaubenspraxis, die Teilna</w:t>
      </w:r>
      <w:r>
        <w:t>h</w:t>
      </w:r>
      <w:r>
        <w:t xml:space="preserve">me am gemeinsamen Glaubensleben. </w:t>
      </w:r>
      <w:r w:rsidR="008C3F48">
        <w:t>M</w:t>
      </w:r>
      <w:r>
        <w:t>an fragt unter anderem: Hat der Glaube Einfluss auf alle B</w:t>
      </w:r>
      <w:r>
        <w:t>e</w:t>
      </w:r>
      <w:r>
        <w:t>reiche des Lebens, prägt er die Einstellungen, redet er mit bei Entscheidungen, hilft er im Al</w:t>
      </w:r>
      <w:r>
        <w:t>l</w:t>
      </w:r>
      <w:r>
        <w:t>tag?</w:t>
      </w:r>
      <w:r>
        <w:rPr>
          <w:rStyle w:val="Funotenzeichen"/>
        </w:rPr>
        <w:footnoteReference w:id="14"/>
      </w:r>
      <w:r>
        <w:t xml:space="preserve"> </w:t>
      </w:r>
    </w:p>
    <w:p w14:paraId="6D283EDD" w14:textId="37A6D3BD" w:rsidR="008C3F48" w:rsidRDefault="00E25DDA" w:rsidP="00E25DDA">
      <w:r>
        <w:t xml:space="preserve">In </w:t>
      </w:r>
      <w:r w:rsidR="008C3F48">
        <w:t>der REVEAL-Studie (</w:t>
      </w:r>
      <w:r>
        <w:t>Willow Creek</w:t>
      </w:r>
      <w:r w:rsidR="008C3F48">
        <w:t>)</w:t>
      </w:r>
      <w:r>
        <w:t xml:space="preserve"> fragt man: Wie kommt ein Mensch von der Suche nach Gott über e</w:t>
      </w:r>
      <w:r>
        <w:t>i</w:t>
      </w:r>
      <w:r>
        <w:t>nen anfänglichen und dann wachsenden Glauben zu einem Leben, in dem Christus in allem die Mitte ist</w:t>
      </w:r>
      <w:r w:rsidR="0045109B">
        <w:t xml:space="preserve"> (</w:t>
      </w:r>
      <w:r w:rsidR="0045109B" w:rsidRPr="0045109B">
        <w:rPr>
          <w:u w:val="single"/>
        </w:rPr>
        <w:t>Christ-centered</w:t>
      </w:r>
      <w:r w:rsidR="0045109B">
        <w:t>)</w:t>
      </w:r>
      <w:r>
        <w:t xml:space="preserve">? </w:t>
      </w:r>
      <w:r w:rsidR="008C3F48">
        <w:t xml:space="preserve">Denn: </w:t>
      </w:r>
      <w:r>
        <w:t>Gerade missionarische Gemeinden machen sich viele Gedanken darüber, wie sie Menschen zum Glauben führen. Wir machen uns in der Regel nicht ganz so viele G</w:t>
      </w:r>
      <w:r>
        <w:t>e</w:t>
      </w:r>
      <w:r>
        <w:t xml:space="preserve">danken, wie es dann weitergeht. </w:t>
      </w:r>
    </w:p>
    <w:p w14:paraId="1615D347" w14:textId="77777777" w:rsidR="0045109B" w:rsidRDefault="0045109B" w:rsidP="00E25DDA"/>
    <w:p w14:paraId="43CAA7DB" w14:textId="77777777" w:rsidR="00CF7AA1" w:rsidRDefault="00CF7AA1" w:rsidP="00E25DDA"/>
    <w:p w14:paraId="509658DF" w14:textId="5A97BBC3" w:rsidR="00CF7AA1" w:rsidRDefault="00CF7AA1" w:rsidP="00CF7AA1">
      <w:pPr>
        <w:jc w:val="center"/>
      </w:pPr>
      <w:bookmarkStart w:id="20" w:name="_GoBack"/>
      <w:r w:rsidRPr="00CF7AA1">
        <w:drawing>
          <wp:inline distT="0" distB="0" distL="0" distR="0" wp14:anchorId="4784F249" wp14:editId="1FB75846">
            <wp:extent cx="3660703" cy="2745528"/>
            <wp:effectExtent l="0" t="0" r="0" b="0"/>
            <wp:docPr id="29"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62647" cy="2746986"/>
                    </a:xfrm>
                    <a:prstGeom prst="rect">
                      <a:avLst/>
                    </a:prstGeom>
                    <a:noFill/>
                    <a:ln>
                      <a:noFill/>
                    </a:ln>
                  </pic:spPr>
                </pic:pic>
              </a:graphicData>
            </a:graphic>
          </wp:inline>
        </w:drawing>
      </w:r>
      <w:bookmarkEnd w:id="20"/>
      <w:r>
        <w:rPr>
          <w:rStyle w:val="Funotenzeichen"/>
        </w:rPr>
        <w:footnoteReference w:id="15"/>
      </w:r>
    </w:p>
    <w:bookmarkStart w:id="21" w:name="OLE_LINK3"/>
    <w:bookmarkStart w:id="22" w:name="OLE_LINK4"/>
    <w:p w14:paraId="271E4775" w14:textId="77777777" w:rsidR="00E25DDA" w:rsidRPr="00CF7AA1" w:rsidRDefault="00E25DDA" w:rsidP="00E25DDA">
      <w:pPr>
        <w:pStyle w:val="berschrift2"/>
        <w:rPr>
          <w:noProof/>
          <w:sz w:val="22"/>
          <w:szCs w:val="22"/>
        </w:rPr>
      </w:pPr>
      <w:r>
        <w:fldChar w:fldCharType="begin"/>
      </w:r>
      <w:r>
        <w:instrText xml:space="preserve"> ADDIN EN.REFLIST </w:instrText>
      </w:r>
      <w:r>
        <w:fldChar w:fldCharType="separate"/>
      </w:r>
      <w:r w:rsidRPr="00CF7AA1">
        <w:rPr>
          <w:sz w:val="20"/>
          <w:szCs w:val="20"/>
        </w:rPr>
        <w:fldChar w:fldCharType="begin"/>
      </w:r>
      <w:r w:rsidRPr="00CF7AA1">
        <w:rPr>
          <w:sz w:val="20"/>
          <w:szCs w:val="20"/>
        </w:rPr>
        <w:instrText xml:space="preserve"> ADDIN EN.REFLIST </w:instrText>
      </w:r>
      <w:r w:rsidRPr="00CF7AA1">
        <w:rPr>
          <w:sz w:val="20"/>
          <w:szCs w:val="20"/>
        </w:rPr>
        <w:fldChar w:fldCharType="separate"/>
      </w:r>
      <w:bookmarkStart w:id="23" w:name="_Toc220921720"/>
      <w:r w:rsidRPr="00CF7AA1">
        <w:rPr>
          <w:noProof/>
          <w:sz w:val="22"/>
          <w:szCs w:val="22"/>
        </w:rPr>
        <w:t>Literaturliste</w:t>
      </w:r>
      <w:bookmarkEnd w:id="23"/>
    </w:p>
    <w:p w14:paraId="4FA807F4" w14:textId="77777777" w:rsidR="00E25DDA" w:rsidRPr="00CF7AA1" w:rsidRDefault="00E25DDA" w:rsidP="00CF7AA1">
      <w:pPr>
        <w:spacing w:after="0" w:line="240" w:lineRule="auto"/>
        <w:ind w:left="284" w:hanging="284"/>
        <w:rPr>
          <w:noProof/>
          <w:sz w:val="20"/>
          <w:szCs w:val="20"/>
        </w:rPr>
      </w:pPr>
      <w:bookmarkStart w:id="24" w:name="_ENREF_1"/>
      <w:r w:rsidRPr="00CF7AA1">
        <w:rPr>
          <w:noProof/>
          <w:sz w:val="20"/>
          <w:szCs w:val="20"/>
        </w:rPr>
        <w:t xml:space="preserve">Clausen, Matthias: </w:t>
      </w:r>
      <w:r w:rsidRPr="00CF7AA1">
        <w:rPr>
          <w:i/>
          <w:noProof/>
          <w:sz w:val="20"/>
          <w:szCs w:val="20"/>
        </w:rPr>
        <w:t>Evangelisation, Erkenntnis und Sprache. Über-zeugend predigen unter nach.modernen Bedingungen</w:t>
      </w:r>
      <w:r w:rsidRPr="00CF7AA1">
        <w:rPr>
          <w:noProof/>
          <w:sz w:val="20"/>
          <w:szCs w:val="20"/>
        </w:rPr>
        <w:t>. Neukirchen-Vluyn 2010 (BEG Bd. 13)</w:t>
      </w:r>
      <w:bookmarkEnd w:id="24"/>
    </w:p>
    <w:p w14:paraId="7C45FB2C" w14:textId="77777777" w:rsidR="00E25DDA" w:rsidRPr="00CF7AA1" w:rsidRDefault="00E25DDA" w:rsidP="00CF7AA1">
      <w:pPr>
        <w:spacing w:after="0" w:line="240" w:lineRule="auto"/>
        <w:ind w:left="284" w:hanging="284"/>
        <w:rPr>
          <w:noProof/>
          <w:sz w:val="20"/>
          <w:szCs w:val="20"/>
        </w:rPr>
      </w:pPr>
      <w:bookmarkStart w:id="25" w:name="_ENREF_2"/>
      <w:r w:rsidRPr="00CF7AA1">
        <w:rPr>
          <w:noProof/>
          <w:sz w:val="20"/>
          <w:szCs w:val="20"/>
        </w:rPr>
        <w:t xml:space="preserve">Douglass, Klaus: </w:t>
      </w:r>
      <w:r w:rsidRPr="00CF7AA1">
        <w:rPr>
          <w:i/>
          <w:noProof/>
          <w:sz w:val="20"/>
          <w:szCs w:val="20"/>
        </w:rPr>
        <w:t>Glaube hat Gründe. Wie ich eine lebendige Beziehung zu Gott finde</w:t>
      </w:r>
      <w:r w:rsidRPr="00CF7AA1">
        <w:rPr>
          <w:noProof/>
          <w:sz w:val="20"/>
          <w:szCs w:val="20"/>
        </w:rPr>
        <w:t xml:space="preserve">. Stuttgart 1994 </w:t>
      </w:r>
      <w:bookmarkEnd w:id="25"/>
    </w:p>
    <w:p w14:paraId="23C1B787" w14:textId="77777777" w:rsidR="00E25DDA" w:rsidRPr="00CF7AA1" w:rsidRDefault="00E25DDA" w:rsidP="00CF7AA1">
      <w:pPr>
        <w:spacing w:after="0" w:line="240" w:lineRule="auto"/>
        <w:ind w:left="284" w:hanging="284"/>
        <w:rPr>
          <w:noProof/>
          <w:sz w:val="20"/>
          <w:szCs w:val="20"/>
        </w:rPr>
      </w:pPr>
      <w:bookmarkStart w:id="26" w:name="_ENREF_3"/>
      <w:r w:rsidRPr="00CF7AA1">
        <w:rPr>
          <w:noProof/>
          <w:sz w:val="20"/>
          <w:szCs w:val="20"/>
        </w:rPr>
        <w:t xml:space="preserve">---: </w:t>
      </w:r>
      <w:r w:rsidRPr="00CF7AA1">
        <w:rPr>
          <w:i/>
          <w:noProof/>
          <w:sz w:val="20"/>
          <w:szCs w:val="20"/>
        </w:rPr>
        <w:t>Die neue Reformation. 96 Thesen zur Zukunft der Kirche</w:t>
      </w:r>
      <w:r w:rsidRPr="00CF7AA1">
        <w:rPr>
          <w:noProof/>
          <w:sz w:val="20"/>
          <w:szCs w:val="20"/>
        </w:rPr>
        <w:t xml:space="preserve">. Stuttgart 2001 </w:t>
      </w:r>
      <w:bookmarkEnd w:id="26"/>
    </w:p>
    <w:p w14:paraId="59AA8949" w14:textId="77777777" w:rsidR="00E25DDA" w:rsidRPr="00CF7AA1" w:rsidRDefault="00E25DDA" w:rsidP="00CF7AA1">
      <w:pPr>
        <w:spacing w:after="0" w:line="240" w:lineRule="auto"/>
        <w:ind w:left="284" w:hanging="284"/>
        <w:rPr>
          <w:noProof/>
          <w:sz w:val="20"/>
          <w:szCs w:val="20"/>
        </w:rPr>
      </w:pPr>
      <w:bookmarkStart w:id="27" w:name="_ENREF_5"/>
      <w:r w:rsidRPr="00CF7AA1">
        <w:rPr>
          <w:noProof/>
          <w:sz w:val="20"/>
          <w:szCs w:val="20"/>
        </w:rPr>
        <w:t xml:space="preserve">Finney, John: </w:t>
      </w:r>
      <w:r w:rsidRPr="00CF7AA1">
        <w:rPr>
          <w:i/>
          <w:noProof/>
          <w:sz w:val="20"/>
          <w:szCs w:val="20"/>
        </w:rPr>
        <w:t>Finding Faith Today. How does it happen?</w:t>
      </w:r>
      <w:r w:rsidRPr="00CF7AA1">
        <w:rPr>
          <w:noProof/>
          <w:sz w:val="20"/>
          <w:szCs w:val="20"/>
        </w:rPr>
        <w:t xml:space="preserve"> London 1992 </w:t>
      </w:r>
      <w:bookmarkEnd w:id="27"/>
    </w:p>
    <w:p w14:paraId="7E61AE27" w14:textId="77777777" w:rsidR="00E25DDA" w:rsidRPr="00CF7AA1" w:rsidRDefault="00E25DDA" w:rsidP="00CF7AA1">
      <w:pPr>
        <w:spacing w:after="0" w:line="240" w:lineRule="auto"/>
        <w:ind w:left="284" w:hanging="284"/>
        <w:rPr>
          <w:noProof/>
          <w:sz w:val="20"/>
          <w:szCs w:val="20"/>
        </w:rPr>
      </w:pPr>
      <w:bookmarkStart w:id="28" w:name="_ENREF_6"/>
      <w:r w:rsidRPr="00CF7AA1">
        <w:rPr>
          <w:noProof/>
          <w:sz w:val="20"/>
          <w:szCs w:val="20"/>
        </w:rPr>
        <w:t xml:space="preserve">---: </w:t>
      </w:r>
      <w:r w:rsidRPr="00CF7AA1">
        <w:rPr>
          <w:i/>
          <w:noProof/>
          <w:sz w:val="20"/>
          <w:szCs w:val="20"/>
        </w:rPr>
        <w:t>Wie Gemeinde über sich hinauswächst. Zukunftsfähig evangelisieren im 21. Jahrhundert.</w:t>
      </w:r>
      <w:r w:rsidRPr="00CF7AA1">
        <w:rPr>
          <w:noProof/>
          <w:sz w:val="20"/>
          <w:szCs w:val="20"/>
        </w:rPr>
        <w:t xml:space="preserve"> Neukirchen-Vluyn 2007 (BEG-Praxis </w:t>
      </w:r>
      <w:bookmarkEnd w:id="28"/>
    </w:p>
    <w:p w14:paraId="0462F8F2" w14:textId="77777777" w:rsidR="00E25DDA" w:rsidRPr="00CF7AA1" w:rsidRDefault="00E25DDA" w:rsidP="00CF7AA1">
      <w:pPr>
        <w:spacing w:after="0" w:line="240" w:lineRule="auto"/>
        <w:ind w:left="284" w:hanging="284"/>
        <w:rPr>
          <w:noProof/>
          <w:sz w:val="20"/>
          <w:szCs w:val="20"/>
        </w:rPr>
      </w:pPr>
      <w:bookmarkStart w:id="29" w:name="_ENREF_7"/>
      <w:r w:rsidRPr="00CF7AA1">
        <w:rPr>
          <w:noProof/>
          <w:sz w:val="20"/>
          <w:szCs w:val="20"/>
        </w:rPr>
        <w:t xml:space="preserve">Hawkins, Greg L. und Parkinson, Cally: </w:t>
      </w:r>
      <w:r w:rsidRPr="00CF7AA1">
        <w:rPr>
          <w:i/>
          <w:noProof/>
          <w:sz w:val="20"/>
          <w:szCs w:val="20"/>
        </w:rPr>
        <w:t>Prüfen. Aufrüttelnde Erkenntnisse der REVEAL-Studie</w:t>
      </w:r>
      <w:r w:rsidRPr="00CF7AA1">
        <w:rPr>
          <w:noProof/>
          <w:sz w:val="20"/>
          <w:szCs w:val="20"/>
        </w:rPr>
        <w:t xml:space="preserve">. Asslar 2009 </w:t>
      </w:r>
      <w:bookmarkEnd w:id="29"/>
    </w:p>
    <w:p w14:paraId="63F5093E" w14:textId="77777777" w:rsidR="00E25DDA" w:rsidRPr="00CF7AA1" w:rsidRDefault="00E25DDA" w:rsidP="00CF7AA1">
      <w:pPr>
        <w:spacing w:after="0" w:line="240" w:lineRule="auto"/>
        <w:ind w:left="284" w:hanging="284"/>
        <w:rPr>
          <w:noProof/>
          <w:sz w:val="20"/>
          <w:szCs w:val="20"/>
        </w:rPr>
      </w:pPr>
      <w:bookmarkStart w:id="30" w:name="_ENREF_8"/>
      <w:r w:rsidRPr="00CF7AA1">
        <w:rPr>
          <w:noProof/>
          <w:sz w:val="20"/>
          <w:szCs w:val="20"/>
        </w:rPr>
        <w:t xml:space="preserve">Herbst, Michael: </w:t>
      </w:r>
      <w:r w:rsidRPr="00CF7AA1">
        <w:rPr>
          <w:i/>
          <w:noProof/>
          <w:sz w:val="20"/>
          <w:szCs w:val="20"/>
        </w:rPr>
        <w:t>"Mama, Gott hat dich in die Kirche geschoben!" Welche Konsequenzen ziehen wir aus der Studie?</w:t>
      </w:r>
      <w:r w:rsidRPr="00CF7AA1">
        <w:rPr>
          <w:noProof/>
          <w:sz w:val="20"/>
          <w:szCs w:val="20"/>
        </w:rPr>
        <w:t xml:space="preserve"> In: Johannes Zimmermann und Anna-Konstanze Schröder (Hg.): </w:t>
      </w:r>
      <w:r w:rsidRPr="00CF7AA1">
        <w:rPr>
          <w:i/>
          <w:noProof/>
          <w:sz w:val="20"/>
          <w:szCs w:val="20"/>
        </w:rPr>
        <w:t xml:space="preserve">Wie finden Erwachsene zum Glauben? Einführung und Ergebnisse der Greifswalder Studie. </w:t>
      </w:r>
      <w:r w:rsidRPr="00CF7AA1">
        <w:rPr>
          <w:noProof/>
          <w:sz w:val="20"/>
          <w:szCs w:val="20"/>
        </w:rPr>
        <w:t xml:space="preserve">Neukirchen-Vluyn 2010, 169-187 (BEG-Praxis) </w:t>
      </w:r>
      <w:bookmarkEnd w:id="30"/>
    </w:p>
    <w:p w14:paraId="4A708B9B" w14:textId="77777777" w:rsidR="00E25DDA" w:rsidRPr="00CF7AA1" w:rsidRDefault="00E25DDA" w:rsidP="00CF7AA1">
      <w:pPr>
        <w:spacing w:after="0" w:line="240" w:lineRule="auto"/>
        <w:ind w:left="284" w:hanging="284"/>
        <w:rPr>
          <w:noProof/>
          <w:sz w:val="20"/>
          <w:szCs w:val="20"/>
        </w:rPr>
      </w:pPr>
      <w:bookmarkStart w:id="31" w:name="_ENREF_9"/>
      <w:r w:rsidRPr="00CF7AA1">
        <w:rPr>
          <w:noProof/>
          <w:sz w:val="20"/>
          <w:szCs w:val="20"/>
        </w:rPr>
        <w:t xml:space="preserve">Huber, Stefan: </w:t>
      </w:r>
      <w:r w:rsidRPr="00CF7AA1">
        <w:rPr>
          <w:i/>
          <w:noProof/>
          <w:sz w:val="20"/>
          <w:szCs w:val="20"/>
        </w:rPr>
        <w:t>Zentralität und Inhalt. Ein neues multidimensionales Messmodell der Religiosität</w:t>
      </w:r>
      <w:r w:rsidRPr="00CF7AA1">
        <w:rPr>
          <w:noProof/>
          <w:sz w:val="20"/>
          <w:szCs w:val="20"/>
        </w:rPr>
        <w:t>. Opladen 2003 (Veröffentlichungen der Sektion „Religionssoziologie“ der Deutschen Gesellschaft für Soziologie. Bd. 9)</w:t>
      </w:r>
      <w:bookmarkEnd w:id="31"/>
    </w:p>
    <w:p w14:paraId="5AA88B5B" w14:textId="77777777" w:rsidR="00E25DDA" w:rsidRPr="00CF7AA1" w:rsidRDefault="00E25DDA" w:rsidP="00CF7AA1">
      <w:pPr>
        <w:spacing w:after="0" w:line="240" w:lineRule="auto"/>
        <w:ind w:left="284" w:hanging="284"/>
        <w:rPr>
          <w:noProof/>
          <w:sz w:val="20"/>
          <w:szCs w:val="20"/>
        </w:rPr>
      </w:pPr>
      <w:bookmarkStart w:id="32" w:name="_ENREF_10"/>
      <w:r w:rsidRPr="00CF7AA1">
        <w:rPr>
          <w:noProof/>
          <w:sz w:val="20"/>
          <w:szCs w:val="20"/>
        </w:rPr>
        <w:t xml:space="preserve">James, William: </w:t>
      </w:r>
      <w:r w:rsidRPr="00CF7AA1">
        <w:rPr>
          <w:i/>
          <w:noProof/>
          <w:sz w:val="20"/>
          <w:szCs w:val="20"/>
        </w:rPr>
        <w:t>The Varieties of Religious Experience. A Study in Human Nature.</w:t>
      </w:r>
      <w:r w:rsidRPr="00CF7AA1">
        <w:rPr>
          <w:noProof/>
          <w:sz w:val="20"/>
          <w:szCs w:val="20"/>
        </w:rPr>
        <w:t xml:space="preserve"> London 1929 </w:t>
      </w:r>
      <w:bookmarkEnd w:id="32"/>
    </w:p>
    <w:p w14:paraId="0EF6F7EE" w14:textId="77777777" w:rsidR="00E25DDA" w:rsidRPr="00CF7AA1" w:rsidRDefault="00E25DDA" w:rsidP="00CF7AA1">
      <w:pPr>
        <w:spacing w:after="0" w:line="240" w:lineRule="auto"/>
        <w:ind w:left="284" w:hanging="284"/>
        <w:rPr>
          <w:noProof/>
          <w:sz w:val="20"/>
          <w:szCs w:val="20"/>
        </w:rPr>
      </w:pPr>
      <w:bookmarkStart w:id="33" w:name="_ENREF_4"/>
      <w:bookmarkStart w:id="34" w:name="_ENREF_11"/>
      <w:r w:rsidRPr="00CF7AA1">
        <w:rPr>
          <w:noProof/>
          <w:sz w:val="20"/>
          <w:szCs w:val="20"/>
        </w:rPr>
        <w:t xml:space="preserve">Kirchenamt der EKD (Hg.): </w:t>
      </w:r>
      <w:r w:rsidRPr="00CF7AA1">
        <w:rPr>
          <w:i/>
          <w:noProof/>
          <w:sz w:val="20"/>
          <w:szCs w:val="20"/>
        </w:rPr>
        <w:t>Reden von Gott in der Welt. Der missionarische Auftrag der Kirche an der Schwelle zum 3. Jahrtausend</w:t>
      </w:r>
      <w:r w:rsidRPr="00CF7AA1">
        <w:rPr>
          <w:noProof/>
          <w:sz w:val="20"/>
          <w:szCs w:val="20"/>
        </w:rPr>
        <w:t xml:space="preserve">. Frankfurt/M. 2. Aufl. 2001 </w:t>
      </w:r>
      <w:bookmarkEnd w:id="33"/>
    </w:p>
    <w:p w14:paraId="33921F15" w14:textId="77777777" w:rsidR="00E25DDA" w:rsidRPr="00CF7AA1" w:rsidRDefault="00E25DDA" w:rsidP="00CF7AA1">
      <w:pPr>
        <w:spacing w:after="0" w:line="240" w:lineRule="auto"/>
        <w:ind w:left="284" w:hanging="284"/>
        <w:rPr>
          <w:noProof/>
          <w:sz w:val="20"/>
          <w:szCs w:val="20"/>
        </w:rPr>
      </w:pPr>
      <w:r w:rsidRPr="00CF7AA1">
        <w:rPr>
          <w:b/>
          <w:noProof/>
          <w:sz w:val="20"/>
          <w:szCs w:val="20"/>
        </w:rPr>
        <w:t xml:space="preserve">MacDonald, Gordon:  </w:t>
      </w:r>
      <w:r w:rsidRPr="00CF7AA1">
        <w:rPr>
          <w:i/>
          <w:noProof/>
          <w:sz w:val="20"/>
          <w:szCs w:val="20"/>
        </w:rPr>
        <w:t>Unsere West Point Gemeinde-Akademie. Mit LDI-Groups junge Leiter aufbauen</w:t>
      </w:r>
      <w:r w:rsidRPr="00CF7AA1">
        <w:rPr>
          <w:noProof/>
          <w:sz w:val="20"/>
          <w:szCs w:val="20"/>
        </w:rPr>
        <w:t>. Aufatmen Heft 1 (2009), 88-92</w:t>
      </w:r>
      <w:bookmarkEnd w:id="34"/>
    </w:p>
    <w:p w14:paraId="07BF3642" w14:textId="77777777" w:rsidR="00E25DDA" w:rsidRPr="00CF7AA1" w:rsidRDefault="00E25DDA" w:rsidP="00CF7AA1">
      <w:pPr>
        <w:spacing w:after="0" w:line="240" w:lineRule="auto"/>
        <w:ind w:left="284" w:hanging="284"/>
        <w:rPr>
          <w:b/>
          <w:noProof/>
          <w:sz w:val="20"/>
          <w:szCs w:val="20"/>
        </w:rPr>
      </w:pPr>
      <w:bookmarkStart w:id="35" w:name="_ENREF_12"/>
      <w:r w:rsidRPr="00CF7AA1">
        <w:rPr>
          <w:noProof/>
          <w:sz w:val="20"/>
          <w:szCs w:val="20"/>
        </w:rPr>
        <w:t xml:space="preserve">---: </w:t>
      </w:r>
      <w:r w:rsidRPr="00CF7AA1">
        <w:rPr>
          <w:b/>
          <w:i/>
          <w:noProof/>
          <w:sz w:val="20"/>
          <w:szCs w:val="20"/>
        </w:rPr>
        <w:t>Tiefgänger. Eine Geschichte über Menschen mit Potenzial, Leiter mit dem richtigen Blick und das Glück, diese Welt zu verändern</w:t>
      </w:r>
      <w:r w:rsidRPr="00CF7AA1">
        <w:rPr>
          <w:b/>
          <w:noProof/>
          <w:sz w:val="20"/>
          <w:szCs w:val="20"/>
        </w:rPr>
        <w:t xml:space="preserve">. Asslar 2011 </w:t>
      </w:r>
      <w:bookmarkEnd w:id="35"/>
    </w:p>
    <w:p w14:paraId="4D913C58" w14:textId="77777777" w:rsidR="00E25DDA" w:rsidRPr="00CF7AA1" w:rsidRDefault="00E25DDA" w:rsidP="00CF7AA1">
      <w:pPr>
        <w:spacing w:after="0" w:line="240" w:lineRule="auto"/>
        <w:ind w:left="284" w:hanging="284"/>
        <w:rPr>
          <w:noProof/>
          <w:sz w:val="20"/>
          <w:szCs w:val="20"/>
        </w:rPr>
      </w:pPr>
      <w:bookmarkStart w:id="36" w:name="_ENREF_13"/>
      <w:r w:rsidRPr="00CF7AA1">
        <w:rPr>
          <w:noProof/>
          <w:sz w:val="20"/>
          <w:szCs w:val="20"/>
        </w:rPr>
        <w:t xml:space="preserve">Moynagh, Michael: </w:t>
      </w:r>
      <w:r w:rsidRPr="00CF7AA1">
        <w:rPr>
          <w:i/>
          <w:noProof/>
          <w:sz w:val="20"/>
          <w:szCs w:val="20"/>
        </w:rPr>
        <w:t>Church for every context. An introduction to theology and practice</w:t>
      </w:r>
      <w:r w:rsidRPr="00CF7AA1">
        <w:rPr>
          <w:noProof/>
          <w:sz w:val="20"/>
          <w:szCs w:val="20"/>
        </w:rPr>
        <w:t xml:space="preserve">. London 2012 </w:t>
      </w:r>
      <w:bookmarkEnd w:id="36"/>
    </w:p>
    <w:p w14:paraId="57C4E8EA" w14:textId="77777777" w:rsidR="00E25DDA" w:rsidRPr="00CF7AA1" w:rsidRDefault="00E25DDA" w:rsidP="00CF7AA1">
      <w:pPr>
        <w:spacing w:after="0" w:line="240" w:lineRule="auto"/>
        <w:ind w:left="284" w:hanging="284"/>
        <w:rPr>
          <w:noProof/>
          <w:sz w:val="20"/>
          <w:szCs w:val="20"/>
        </w:rPr>
      </w:pPr>
      <w:bookmarkStart w:id="37" w:name="_ENREF_14"/>
      <w:r w:rsidRPr="00CF7AA1">
        <w:rPr>
          <w:noProof/>
          <w:sz w:val="20"/>
          <w:szCs w:val="20"/>
        </w:rPr>
        <w:t xml:space="preserve">Rambo, Lewis R.: </w:t>
      </w:r>
      <w:r w:rsidRPr="00CF7AA1">
        <w:rPr>
          <w:i/>
          <w:noProof/>
          <w:sz w:val="20"/>
          <w:szCs w:val="20"/>
        </w:rPr>
        <w:t>Understanding Religious Conversion</w:t>
      </w:r>
      <w:r w:rsidRPr="00CF7AA1">
        <w:rPr>
          <w:noProof/>
          <w:sz w:val="20"/>
          <w:szCs w:val="20"/>
        </w:rPr>
        <w:t xml:space="preserve">. New Haven 1993 </w:t>
      </w:r>
      <w:bookmarkEnd w:id="37"/>
    </w:p>
    <w:p w14:paraId="382836E5" w14:textId="77777777" w:rsidR="00E25DDA" w:rsidRPr="00CF7AA1" w:rsidRDefault="00E25DDA" w:rsidP="00CF7AA1">
      <w:pPr>
        <w:spacing w:after="0" w:line="240" w:lineRule="auto"/>
        <w:ind w:left="284" w:hanging="284"/>
        <w:rPr>
          <w:noProof/>
          <w:sz w:val="20"/>
          <w:szCs w:val="20"/>
        </w:rPr>
      </w:pPr>
      <w:bookmarkStart w:id="38" w:name="_ENREF_15"/>
      <w:r w:rsidRPr="00CF7AA1">
        <w:rPr>
          <w:noProof/>
          <w:sz w:val="20"/>
          <w:szCs w:val="20"/>
        </w:rPr>
        <w:t xml:space="preserve">Schröder, Anna-Konstanze: </w:t>
      </w:r>
      <w:r w:rsidRPr="00CF7AA1">
        <w:rPr>
          <w:i/>
          <w:noProof/>
          <w:sz w:val="20"/>
          <w:szCs w:val="20"/>
        </w:rPr>
        <w:t>Die Befragung. Einführung in die Methodik der Studie "Wie finden Erwachsene zum Glauben?"</w:t>
      </w:r>
      <w:r w:rsidRPr="00CF7AA1">
        <w:rPr>
          <w:noProof/>
          <w:sz w:val="20"/>
          <w:szCs w:val="20"/>
        </w:rPr>
        <w:t xml:space="preserve">. In: Johannes Zimmermann und Anna-Konstanze Schröder (Hg.): </w:t>
      </w:r>
      <w:r w:rsidRPr="00CF7AA1">
        <w:rPr>
          <w:i/>
          <w:noProof/>
          <w:sz w:val="20"/>
          <w:szCs w:val="20"/>
        </w:rPr>
        <w:t xml:space="preserve">Wie finden Erwachsene zum Glauben? Einführung und Ergebnisse der Greifswalder Studie. </w:t>
      </w:r>
      <w:r w:rsidRPr="00CF7AA1">
        <w:rPr>
          <w:noProof/>
          <w:sz w:val="20"/>
          <w:szCs w:val="20"/>
        </w:rPr>
        <w:t xml:space="preserve">Neukirchen-Vluyn 2010, 45-55 (BEG-Praxis) </w:t>
      </w:r>
      <w:bookmarkEnd w:id="38"/>
    </w:p>
    <w:p w14:paraId="79CEB984" w14:textId="77777777" w:rsidR="00E25DDA" w:rsidRPr="00CF7AA1" w:rsidRDefault="00E25DDA" w:rsidP="00CF7AA1">
      <w:pPr>
        <w:spacing w:after="0" w:line="240" w:lineRule="auto"/>
        <w:ind w:left="284" w:hanging="284"/>
        <w:rPr>
          <w:noProof/>
          <w:sz w:val="20"/>
          <w:szCs w:val="20"/>
        </w:rPr>
      </w:pPr>
      <w:bookmarkStart w:id="39" w:name="_ENREF_16"/>
      <w:r w:rsidRPr="00CF7AA1">
        <w:rPr>
          <w:noProof/>
          <w:sz w:val="20"/>
          <w:szCs w:val="20"/>
        </w:rPr>
        <w:t xml:space="preserve">Schwarz, Patrick:  </w:t>
      </w:r>
      <w:r w:rsidRPr="00CF7AA1">
        <w:rPr>
          <w:i/>
          <w:noProof/>
          <w:sz w:val="20"/>
          <w:szCs w:val="20"/>
        </w:rPr>
        <w:t>Auch ein Wunder. Am Beten halten sogar viele von denen fest, die sich von der Kirche längst verabschiedet haben.</w:t>
      </w:r>
      <w:r w:rsidRPr="00CF7AA1">
        <w:rPr>
          <w:noProof/>
          <w:sz w:val="20"/>
          <w:szCs w:val="20"/>
        </w:rPr>
        <w:t xml:space="preserve"> DIE ZEIT Nr. 53 (2009), 1</w:t>
      </w:r>
      <w:bookmarkEnd w:id="39"/>
    </w:p>
    <w:p w14:paraId="0AB0045A" w14:textId="77777777" w:rsidR="00E25DDA" w:rsidRPr="00CF7AA1" w:rsidRDefault="00E25DDA" w:rsidP="00CF7AA1">
      <w:pPr>
        <w:spacing w:after="0" w:line="240" w:lineRule="auto"/>
        <w:ind w:left="284" w:hanging="284"/>
        <w:rPr>
          <w:noProof/>
          <w:sz w:val="20"/>
          <w:szCs w:val="20"/>
        </w:rPr>
      </w:pPr>
      <w:bookmarkStart w:id="40" w:name="_ENREF_17"/>
      <w:r w:rsidRPr="00CF7AA1">
        <w:rPr>
          <w:noProof/>
          <w:sz w:val="20"/>
          <w:szCs w:val="20"/>
        </w:rPr>
        <w:t>Wingate, Andrew: Bekehrung, VII. Missionswissenschaftlich. RGG, 4. Auflage Tübingen 1998, Bd. 1,</w:t>
      </w:r>
      <w:r w:rsidRPr="00CF7AA1">
        <w:rPr>
          <w:b/>
          <w:noProof/>
          <w:sz w:val="20"/>
          <w:szCs w:val="20"/>
        </w:rPr>
        <w:t xml:space="preserve"> </w:t>
      </w:r>
      <w:r w:rsidRPr="00CF7AA1">
        <w:rPr>
          <w:noProof/>
          <w:sz w:val="20"/>
          <w:szCs w:val="20"/>
        </w:rPr>
        <w:t>1237-1239.</w:t>
      </w:r>
      <w:bookmarkEnd w:id="40"/>
    </w:p>
    <w:p w14:paraId="1DA3ACDD" w14:textId="77777777" w:rsidR="00E25DDA" w:rsidRPr="00CF7AA1" w:rsidRDefault="00E25DDA" w:rsidP="00CF7AA1">
      <w:pPr>
        <w:spacing w:after="0" w:line="240" w:lineRule="auto"/>
        <w:ind w:left="284" w:hanging="284"/>
        <w:rPr>
          <w:b/>
          <w:noProof/>
          <w:sz w:val="20"/>
          <w:szCs w:val="20"/>
        </w:rPr>
      </w:pPr>
      <w:bookmarkStart w:id="41" w:name="_ENREF_18"/>
      <w:r w:rsidRPr="00CF7AA1">
        <w:rPr>
          <w:b/>
          <w:noProof/>
          <w:sz w:val="20"/>
          <w:szCs w:val="20"/>
        </w:rPr>
        <w:t xml:space="preserve">Zimmermann, Johannes und Schröder, Anna-Konstanze: </w:t>
      </w:r>
      <w:r w:rsidRPr="00CF7AA1">
        <w:rPr>
          <w:b/>
          <w:i/>
          <w:noProof/>
          <w:sz w:val="20"/>
          <w:szCs w:val="20"/>
        </w:rPr>
        <w:t>Wie finden Erwachsene zum Glauben?</w:t>
      </w:r>
      <w:r w:rsidRPr="00CF7AA1">
        <w:rPr>
          <w:b/>
          <w:noProof/>
          <w:sz w:val="20"/>
          <w:szCs w:val="20"/>
        </w:rPr>
        <w:t xml:space="preserve"> Neukirchen-Vluyn 2010 (BEG-Praxis) </w:t>
      </w:r>
      <w:bookmarkEnd w:id="41"/>
    </w:p>
    <w:p w14:paraId="0AA992E4" w14:textId="71941219" w:rsidR="00E25DDA" w:rsidRPr="00CF7AA1" w:rsidRDefault="00E25DDA" w:rsidP="00CF7AA1">
      <w:pPr>
        <w:spacing w:after="0" w:line="240" w:lineRule="auto"/>
        <w:ind w:left="284" w:hanging="284"/>
        <w:rPr>
          <w:noProof/>
          <w:sz w:val="20"/>
          <w:szCs w:val="20"/>
        </w:rPr>
      </w:pPr>
      <w:bookmarkStart w:id="42" w:name="_ENREF_19"/>
      <w:r w:rsidRPr="00CF7AA1">
        <w:rPr>
          <w:noProof/>
          <w:sz w:val="20"/>
          <w:szCs w:val="20"/>
        </w:rPr>
        <w:t xml:space="preserve">Zulehner, Paul: </w:t>
      </w:r>
      <w:r w:rsidRPr="00CF7AA1">
        <w:rPr>
          <w:i/>
          <w:noProof/>
          <w:sz w:val="20"/>
          <w:szCs w:val="20"/>
        </w:rPr>
        <w:t>Pastoraltheologie - Fundamentalpastoral: Kirche zwischen Auftrag und Erwartung</w:t>
      </w:r>
      <w:r w:rsidR="00CF7AA1" w:rsidRPr="00CF7AA1">
        <w:rPr>
          <w:noProof/>
          <w:sz w:val="20"/>
          <w:szCs w:val="20"/>
        </w:rPr>
        <w:t>. Düsseldorf 1989</w:t>
      </w:r>
      <w:bookmarkEnd w:id="42"/>
      <w:r w:rsidRPr="00CF7AA1">
        <w:rPr>
          <w:sz w:val="20"/>
          <w:szCs w:val="20"/>
        </w:rPr>
        <w:fldChar w:fldCharType="end"/>
      </w:r>
    </w:p>
    <w:p w14:paraId="2674E276" w14:textId="77777777" w:rsidR="00E25DDA" w:rsidRDefault="00E25DDA" w:rsidP="00E25DDA">
      <w:pPr>
        <w:spacing w:after="0"/>
        <w:ind w:left="720" w:hanging="720"/>
        <w:rPr>
          <w:b/>
          <w:noProof/>
        </w:rPr>
      </w:pPr>
    </w:p>
    <w:p w14:paraId="6D209418" w14:textId="67F0710E" w:rsidR="00E53219" w:rsidRDefault="00E25DDA" w:rsidP="00E25DDA">
      <w:r>
        <w:fldChar w:fldCharType="end"/>
      </w:r>
      <w:bookmarkEnd w:id="21"/>
      <w:bookmarkEnd w:id="22"/>
    </w:p>
    <w:sectPr w:rsidR="00E53219" w:rsidSect="0032199B">
      <w:headerReference w:type="default" r:id="rId28"/>
      <w:footerReference w:type="even" r:id="rId29"/>
      <w:footerReference w:type="default" r:id="rId30"/>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95117" w14:textId="77777777" w:rsidR="00672401" w:rsidRDefault="00672401" w:rsidP="000D11E1">
      <w:pPr>
        <w:spacing w:after="0" w:line="240" w:lineRule="auto"/>
      </w:pPr>
      <w:r>
        <w:separator/>
      </w:r>
    </w:p>
  </w:endnote>
  <w:endnote w:type="continuationSeparator" w:id="0">
    <w:p w14:paraId="4C173609" w14:textId="77777777" w:rsidR="00672401" w:rsidRDefault="00672401"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8C0F4" w14:textId="77777777" w:rsidR="00672401" w:rsidRDefault="00672401"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0EF38B8" w14:textId="77777777" w:rsidR="00672401" w:rsidRDefault="00672401"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14DAD" w14:textId="77777777" w:rsidR="00672401" w:rsidRPr="00496B32" w:rsidRDefault="00672401" w:rsidP="0022019D">
    <w:pPr>
      <w:pStyle w:val="Fuzeile"/>
      <w:ind w:right="360"/>
      <w:jc w:val="right"/>
      <w:rPr>
        <w:sz w:val="20"/>
        <w:szCs w:val="20"/>
      </w:rPr>
    </w:pPr>
    <w:r>
      <w:fldChar w:fldCharType="begin"/>
    </w:r>
    <w:r>
      <w:instrText xml:space="preserve"> PAGE  \* MERGEFORMAT </w:instrText>
    </w:r>
    <w:r>
      <w:fldChar w:fldCharType="separate"/>
    </w:r>
    <w:r w:rsidR="00BC6C5B" w:rsidRPr="00BC6C5B">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19784BE" wp14:editId="0CCC5B9F">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5E0DAE87" w14:textId="77777777" w:rsidR="00672401" w:rsidRPr="00496B32" w:rsidRDefault="00672401" w:rsidP="000D11E1">
    <w:pPr>
      <w:pStyle w:val="Fuzeile"/>
      <w:rPr>
        <w:sz w:val="16"/>
        <w:szCs w:val="16"/>
      </w:rPr>
    </w:pPr>
    <w:r>
      <w:rPr>
        <w:sz w:val="16"/>
        <w:szCs w:val="16"/>
      </w:rPr>
      <w:t>1. Februar 2013</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D6F63" w14:textId="77777777" w:rsidR="00672401" w:rsidRDefault="00672401" w:rsidP="000D11E1">
      <w:pPr>
        <w:spacing w:after="0" w:line="240" w:lineRule="auto"/>
      </w:pPr>
      <w:r>
        <w:separator/>
      </w:r>
    </w:p>
  </w:footnote>
  <w:footnote w:type="continuationSeparator" w:id="0">
    <w:p w14:paraId="43279A28" w14:textId="77777777" w:rsidR="00672401" w:rsidRDefault="00672401" w:rsidP="000D11E1">
      <w:pPr>
        <w:spacing w:after="0" w:line="240" w:lineRule="auto"/>
      </w:pPr>
      <w:r>
        <w:continuationSeparator/>
      </w:r>
    </w:p>
  </w:footnote>
  <w:footnote w:id="1">
    <w:p w14:paraId="16E39A23" w14:textId="77777777" w:rsidR="00672401" w:rsidRDefault="00672401" w:rsidP="00E25DDA">
      <w:pPr>
        <w:pStyle w:val="Funotentext"/>
      </w:pPr>
      <w:r>
        <w:rPr>
          <w:rStyle w:val="Funotenzeichen"/>
        </w:rPr>
        <w:footnoteRef/>
      </w:r>
      <w:r>
        <w:t xml:space="preserve"> </w:t>
      </w:r>
      <w:r>
        <w:fldChar w:fldCharType="begin"/>
      </w:r>
      <w:r>
        <w:instrText xml:space="preserve"> ADDIN EN.CITE &lt;EndNote&gt;&lt;Cite&gt;&lt;Author&gt;Zulehner&lt;/Author&gt;&lt;Year&gt;1989&lt;/Year&gt;&lt;RecNum&gt;1027&lt;/RecNum&gt;&lt;DisplayText&gt;Paul Zulehner 1989&lt;/DisplayText&gt;&lt;record&gt;&lt;rec-number&gt;1027&lt;/rec-number&gt;&lt;foreign-keys&gt;&lt;key app="EN" db-id="0t0dxv9vetdatmef0a959d9wdwf995aa9dxw"&gt;1027&lt;/key&gt;&lt;/foreign-keys&gt;&lt;ref-type name="Book"&gt;6&lt;/ref-type&gt;&lt;contributors&gt;&lt;authors&gt;&lt;author&gt;Paul Zulehner&lt;/author&gt;&lt;/authors&gt;&lt;/contributors&gt;&lt;titles&gt;&lt;title&gt;Pastoraltheologie - Fundamentalpastoral: Kirche zwischen Auftrag und Erwartung&lt;/title&gt;&lt;/titles&gt;&lt;volume&gt;Bd. 1&lt;/volume&gt;&lt;dates&gt;&lt;year&gt;1989&lt;/year&gt;&lt;/dates&gt;&lt;pub-location&gt;Düsseldorf&lt;/pub-location&gt;&lt;urls&gt;&lt;/urls&gt;&lt;/record&gt;&lt;/Cite&gt;&lt;/EndNote&gt;</w:instrText>
      </w:r>
      <w:r>
        <w:fldChar w:fldCharType="separate"/>
      </w:r>
      <w:r>
        <w:rPr>
          <w:noProof/>
        </w:rPr>
        <w:t>Paul Zulehner 1989</w:t>
      </w:r>
      <w:r>
        <w:fldChar w:fldCharType="end"/>
      </w:r>
      <w:r>
        <w:t>, 193f.</w:t>
      </w:r>
    </w:p>
  </w:footnote>
  <w:footnote w:id="2">
    <w:p w14:paraId="00C3FA2A" w14:textId="77777777" w:rsidR="00672401" w:rsidRDefault="00672401" w:rsidP="00D4220A">
      <w:pPr>
        <w:pStyle w:val="Funotentext"/>
      </w:pPr>
      <w:r>
        <w:rPr>
          <w:rStyle w:val="Funotenzeichen"/>
        </w:rPr>
        <w:footnoteRef/>
      </w:r>
      <w:r>
        <w:t xml:space="preserve"> Michael Moynagh 2012, 331. Vgl. insgesamt sein Kapitel über „discipleship“:329-351.</w:t>
      </w:r>
    </w:p>
  </w:footnote>
  <w:footnote w:id="3">
    <w:p w14:paraId="4E6B2D5A" w14:textId="77777777" w:rsidR="00672401" w:rsidRDefault="00672401" w:rsidP="00D4220A">
      <w:pPr>
        <w:pStyle w:val="Funotentext"/>
      </w:pPr>
      <w:r>
        <w:rPr>
          <w:rStyle w:val="Funotenzeichen"/>
        </w:rPr>
        <w:footnoteRef/>
      </w:r>
      <w:r>
        <w:t xml:space="preserve"> Vgl. </w:t>
      </w:r>
      <w:r>
        <w:fldChar w:fldCharType="begin"/>
      </w:r>
      <w:r>
        <w:instrText xml:space="preserve"> ADDIN EN.CITE &lt;EndNote&gt;&lt;Cite&gt;&lt;Author&gt;Finney&lt;/Author&gt;&lt;Year&gt;2007&lt;/Year&gt;&lt;RecNum&gt;125&lt;/RecNum&gt;&lt;DisplayText&gt;John Finney 2007&lt;/DisplayText&gt;&lt;record&gt;&lt;rec-number&gt;125&lt;/rec-number&gt;&lt;foreign-keys&gt;&lt;key app="EN" db-id="0t0dxv9vetdatmef0a959d9wdwf995aa9dxw"&gt;125&lt;/key&gt;&lt;/foreign-keys&gt;&lt;ref-type name="Book"&gt;6&lt;/ref-type&gt;&lt;contributors&gt;&lt;authors&gt;&lt;author&gt;John Finney&lt;/author&gt;&lt;/authors&gt;&lt;/contributors&gt;&lt;titles&gt;&lt;title&gt;Wie Gemeinde über sich hinauswächst. Zukunftsfähig evangelisieren im 21. Jahrhundert.&lt;/title&gt;&lt;secondary-title&gt;BEG-Praxis&lt;/secondary-title&gt;&lt;/titles&gt;&lt;dates&gt;&lt;year&gt;2007&lt;/year&gt;&lt;/dates&gt;&lt;pub-location&gt;Neukirchen-Vluyn&lt;/pub-location&gt;&lt;urls&gt;&lt;/urls&gt;&lt;/record&gt;&lt;/Cite&gt;&lt;/EndNote&gt;</w:instrText>
      </w:r>
      <w:r>
        <w:fldChar w:fldCharType="separate"/>
      </w:r>
      <w:r>
        <w:rPr>
          <w:noProof/>
        </w:rPr>
        <w:t>John Finney 2007</w:t>
      </w:r>
      <w:r>
        <w:fldChar w:fldCharType="end"/>
      </w:r>
      <w:r>
        <w:t xml:space="preserve">; Vgl. </w:t>
      </w:r>
      <w:r>
        <w:fldChar w:fldCharType="begin"/>
      </w:r>
      <w:r>
        <w:instrText xml:space="preserve"> ADDIN EN.CITE &lt;EndNote&gt;&lt;Cite&gt;&lt;Author&gt;Finney&lt;/Author&gt;&lt;Year&gt;1992&lt;/Year&gt;&lt;RecNum&gt;1141&lt;/RecNum&gt;&lt;DisplayText&gt;John Finney 1992&lt;/DisplayText&gt;&lt;record&gt;&lt;rec-number&gt;1141&lt;/rec-number&gt;&lt;foreign-keys&gt;&lt;key app="EN" db-id="0t0dxv9vetdatmef0a959d9wdwf995aa9dxw"&gt;1141&lt;/key&gt;&lt;/foreign-keys&gt;&lt;ref-type name="Book"&gt;6&lt;/ref-type&gt;&lt;contributors&gt;&lt;authors&gt;&lt;author&gt;John Finney&lt;/author&gt;&lt;/authors&gt;&lt;/contributors&gt;&lt;titles&gt;&lt;title&gt;Finding Faith Today. How does it happen?&lt;/title&gt;&lt;/titles&gt;&lt;dates&gt;&lt;year&gt;1992&lt;/year&gt;&lt;/dates&gt;&lt;pub-location&gt;London&lt;/pub-location&gt;&lt;urls&gt;&lt;/urls&gt;&lt;/record&gt;&lt;/Cite&gt;&lt;/EndNote&gt;</w:instrText>
      </w:r>
      <w:r>
        <w:fldChar w:fldCharType="separate"/>
      </w:r>
      <w:r>
        <w:rPr>
          <w:noProof/>
        </w:rPr>
        <w:t>John Finney 1992</w:t>
      </w:r>
      <w:r>
        <w:fldChar w:fldCharType="end"/>
      </w:r>
      <w:r>
        <w:t>.</w:t>
      </w:r>
    </w:p>
  </w:footnote>
  <w:footnote w:id="4">
    <w:p w14:paraId="02039490" w14:textId="0030C956" w:rsidR="00672401" w:rsidRDefault="00672401" w:rsidP="00AC7B73">
      <w:pPr>
        <w:pStyle w:val="Funotentext"/>
      </w:pPr>
      <w:r>
        <w:rPr>
          <w:rStyle w:val="Funotenzeichen"/>
        </w:rPr>
        <w:footnoteRef/>
      </w:r>
      <w:r>
        <w:t xml:space="preserve"> Vgl. vor allem </w:t>
      </w:r>
      <w:r>
        <w:fldChar w:fldCharType="begin"/>
      </w:r>
      <w:r>
        <w:instrText xml:space="preserve"> ADDIN EN.CITE &lt;EndNote&gt;&lt;Cite&gt;&lt;Author&gt;Schröder&lt;/Author&gt;&lt;Year&gt;2010&lt;/Year&gt;&lt;RecNum&gt;728&lt;/RecNum&gt;&lt;DisplayText&gt;Johannes Zimmermann und Anna-Konstanze Schröder 2010&lt;/DisplayText&gt;&lt;record&gt;&lt;rec-number&gt;728&lt;/rec-number&gt;&lt;foreign-keys&gt;&lt;key app="EN" db-id="0t0dxv9vetdatmef0a959d9wdwf995aa9dxw"&gt;728&lt;/key&gt;&lt;/foreign-keys&gt;&lt;ref-type name="Book"&gt;6&lt;/ref-type&gt;&lt;contributors&gt;&lt;authors&gt;&lt;author&gt;Johannes Zimmermann&lt;/author&gt;&lt;author&gt;Anna-Konstanze Schröder&lt;/author&gt;&lt;/authors&gt;&lt;/contributors&gt;&lt;titles&gt;&lt;title&gt;Wie finden Erwachsene zum Glauben?&lt;/title&gt;&lt;secondary-title&gt;BEG-Praxis &lt;/secondary-title&gt;&lt;/titles&gt;&lt;dates&gt;&lt;year&gt;2010&lt;/year&gt;&lt;/dates&gt;&lt;pub-location&gt;Neukirchen-Vluyn&lt;/pub-location&gt;&lt;urls&gt;&lt;/urls&gt;&lt;/record&gt;&lt;/Cite&gt;&lt;/EndNote&gt;</w:instrText>
      </w:r>
      <w:r>
        <w:fldChar w:fldCharType="separate"/>
      </w:r>
      <w:r>
        <w:rPr>
          <w:noProof/>
        </w:rPr>
        <w:t>Johannes Zimmermann und Anna-Konstanze Schröder 2010</w:t>
      </w:r>
      <w:r>
        <w:fldChar w:fldCharType="end"/>
      </w:r>
      <w:r>
        <w:t>. Alle Einzelergebnisse sind dort zu finden.</w:t>
      </w:r>
    </w:p>
  </w:footnote>
  <w:footnote w:id="5">
    <w:p w14:paraId="57186FD8" w14:textId="77777777" w:rsidR="00672401" w:rsidRDefault="00672401" w:rsidP="00E25DDA">
      <w:pPr>
        <w:pStyle w:val="Funotentext"/>
      </w:pPr>
      <w:r>
        <w:rPr>
          <w:rStyle w:val="Funotenzeichen"/>
        </w:rPr>
        <w:footnoteRef/>
      </w:r>
      <w:r>
        <w:t xml:space="preserve"> Eberhard Jüngel in: </w:t>
      </w:r>
      <w:r>
        <w:fldChar w:fldCharType="begin"/>
      </w:r>
      <w:r>
        <w:instrText xml:space="preserve"> ADDIN EN.CITE &lt;EndNote&gt;&lt;Cite&gt;&lt;Author&gt;EKD&lt;/Author&gt;&lt;Year&gt;2001&lt;/Year&gt;&lt;RecNum&gt;968&lt;/RecNum&gt;&lt;DisplayText&gt;Kirchenamt der EKD, 2001&lt;/DisplayText&gt;&lt;record&gt;&lt;rec-number&gt;968&lt;/rec-number&gt;&lt;foreign-keys&gt;&lt;key app="EN" db-id="0t0dxv9vetdatmef0a959d9wdwf995aa9dxw"&gt;968&lt;/key&gt;&lt;/foreign-keys&gt;&lt;ref-type name="Edited Book"&gt;28&lt;/ref-type&gt;&lt;contributors&gt;&lt;authors&gt;&lt;author&gt;Kirchenamt der EKD&lt;/author&gt;&lt;/authors&gt;&lt;/contributors&gt;&lt;titles&gt;&lt;title&gt;Reden von Gott in der Welt. Der missionarische Auftrag der Kirche an der Schwelle zum 3. Jahrtausend&lt;/title&gt;&lt;/titles&gt;&lt;edition&gt;2. Aufl. &lt;/edition&gt;&lt;dates&gt;&lt;year&gt;2001&lt;/year&gt;&lt;/dates&gt;&lt;pub-location&gt;Frankfurt/M.&lt;/pub-location&gt;&lt;urls&gt;&lt;/urls&gt;&lt;/record&gt;&lt;/Cite&gt;&lt;/EndNote&gt;</w:instrText>
      </w:r>
      <w:r>
        <w:fldChar w:fldCharType="separate"/>
      </w:r>
      <w:r>
        <w:rPr>
          <w:noProof/>
        </w:rPr>
        <w:t>Kirchenamt der EKD, 2001</w:t>
      </w:r>
      <w:r>
        <w:fldChar w:fldCharType="end"/>
      </w:r>
      <w:r>
        <w:t>, 15.</w:t>
      </w:r>
    </w:p>
  </w:footnote>
  <w:footnote w:id="6">
    <w:p w14:paraId="0BE592EA" w14:textId="77777777" w:rsidR="00672401" w:rsidRDefault="00672401" w:rsidP="00861F65">
      <w:pPr>
        <w:pStyle w:val="Funotentext"/>
      </w:pPr>
      <w:r>
        <w:rPr>
          <w:rStyle w:val="Funotenzeichen"/>
        </w:rPr>
        <w:footnoteRef/>
      </w:r>
      <w:r>
        <w:t xml:space="preserve"> Vgl. </w:t>
      </w:r>
      <w:r>
        <w:fldChar w:fldCharType="begin"/>
      </w:r>
      <w:r>
        <w:instrText xml:space="preserve"> ADDIN EN.CITE &lt;EndNote&gt;&lt;Cite&gt;&lt;Author&gt;Clausen&lt;/Author&gt;&lt;Year&gt;2010&lt;/Year&gt;&lt;RecNum&gt;1310&lt;/RecNum&gt;&lt;DisplayText&gt;Matthias Clausen 2010&lt;/DisplayText&gt;&lt;record&gt;&lt;rec-number&gt;1310&lt;/rec-number&gt;&lt;foreign-keys&gt;&lt;key app="EN" db-id="0t0dxv9vetdatmef0a959d9wdwf995aa9dxw"&gt;1310&lt;/key&gt;&lt;/foreign-keys&gt;&lt;ref-type name="Book"&gt;6&lt;/ref-type&gt;&lt;contributors&gt;&lt;authors&gt;&lt;author&gt;Matthias Clausen&lt;/author&gt;&lt;/authors&gt;&lt;secondary-authors&gt;&lt;author&gt;Michael Herbst&lt;/author&gt;&lt;author&gt;Jörg Ohlemacher&lt;/author&gt;&lt;author&gt;Johannes Zimmermann&lt;/author&gt;&lt;/secondary-authors&gt;&lt;/contributors&gt;&lt;titles&gt;&lt;title&gt;Evangelisation, Erkenntnis und Sprache. Über-zeugend predigen unter nach.modernen Bedingungen&lt;/title&gt;&lt;secondary-title&gt;BEG&lt;/secondary-title&gt;&lt;/titles&gt;&lt;number&gt;Bd. 13&lt;/number&gt;&lt;dates&gt;&lt;year&gt;2010&lt;/year&gt;&lt;/dates&gt;&lt;pub-location&gt;Neukirchen-Vluyn&lt;/pub-location&gt;&lt;urls&gt;&lt;/urls&gt;&lt;/record&gt;&lt;/Cite&gt;&lt;/EndNote&gt;</w:instrText>
      </w:r>
      <w:r>
        <w:fldChar w:fldCharType="separate"/>
      </w:r>
      <w:r>
        <w:rPr>
          <w:noProof/>
        </w:rPr>
        <w:t>Matthias Clausen 2010</w:t>
      </w:r>
      <w:r>
        <w:fldChar w:fldCharType="end"/>
      </w:r>
      <w:r>
        <w:t>.</w:t>
      </w:r>
    </w:p>
  </w:footnote>
  <w:footnote w:id="7">
    <w:p w14:paraId="778121BC" w14:textId="77777777" w:rsidR="00672401" w:rsidRDefault="00672401" w:rsidP="00861F65">
      <w:pPr>
        <w:pStyle w:val="Funotentext"/>
      </w:pPr>
      <w:r>
        <w:rPr>
          <w:rStyle w:val="Funotenzeichen"/>
        </w:rPr>
        <w:footnoteRef/>
      </w:r>
      <w:r>
        <w:t xml:space="preserve">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20. These, 95-97.</w:t>
      </w:r>
    </w:p>
  </w:footnote>
  <w:footnote w:id="8">
    <w:p w14:paraId="2FF8248E" w14:textId="77777777" w:rsidR="00672401" w:rsidRDefault="00672401" w:rsidP="00861F65">
      <w:pPr>
        <w:pStyle w:val="Funotentext"/>
      </w:pPr>
      <w:r>
        <w:rPr>
          <w:rStyle w:val="Funotenzeichen"/>
        </w:rPr>
        <w:footnoteRef/>
      </w:r>
      <w:r>
        <w:t xml:space="preserve"> </w:t>
      </w:r>
      <w:r>
        <w:fldChar w:fldCharType="begin"/>
      </w:r>
      <w:r>
        <w:instrText xml:space="preserve"> ADDIN EN.CITE &lt;EndNote&gt;&lt;Cite&gt;&lt;Author&gt;Douglass&lt;/Author&gt;&lt;Year&gt;1994&lt;/Year&gt;&lt;RecNum&gt;785&lt;/RecNum&gt;&lt;DisplayText&gt;Klaus Douglass 1994&lt;/DisplayText&gt;&lt;record&gt;&lt;rec-number&gt;785&lt;/rec-number&gt;&lt;foreign-keys&gt;&lt;key app="EN" db-id="0t0dxv9vetdatmef0a959d9wdwf995aa9dxw"&gt;785&lt;/key&gt;&lt;/foreign-keys&gt;&lt;ref-type name="Book"&gt;6&lt;/ref-type&gt;&lt;contributors&gt;&lt;authors&gt;&lt;author&gt;Klaus Douglass&lt;/author&gt;&lt;/authors&gt;&lt;/contributors&gt;&lt;titles&gt;&lt;title&gt;Glaube hat Gründe. Wie ich eine lebendige Beziehung zu Gott finde&lt;/title&gt;&lt;/titles&gt;&lt;dates&gt;&lt;year&gt;1994&lt;/year&gt;&lt;/dates&gt;&lt;pub-location&gt;Stuttgart&lt;/pub-location&gt;&lt;urls&gt;&lt;/urls&gt;&lt;/record&gt;&lt;/Cite&gt;&lt;/EndNote&gt;</w:instrText>
      </w:r>
      <w:r>
        <w:fldChar w:fldCharType="separate"/>
      </w:r>
      <w:r>
        <w:rPr>
          <w:noProof/>
        </w:rPr>
        <w:t>Klaus Douglass 1994</w:t>
      </w:r>
      <w:r>
        <w:fldChar w:fldCharType="end"/>
      </w:r>
      <w:r>
        <w:t>, 170.</w:t>
      </w:r>
    </w:p>
  </w:footnote>
  <w:footnote w:id="9">
    <w:p w14:paraId="2DDC55CA" w14:textId="77777777" w:rsidR="00672401" w:rsidRDefault="00672401" w:rsidP="005F67D0">
      <w:pPr>
        <w:pStyle w:val="Funotentext"/>
      </w:pPr>
      <w:r>
        <w:rPr>
          <w:rStyle w:val="Funotenzeichen"/>
        </w:rPr>
        <w:footnoteRef/>
      </w:r>
      <w:r>
        <w:t xml:space="preserve"> Vgl. zu diesem Abschnitt durchgängig </w:t>
      </w:r>
      <w:r>
        <w:fldChar w:fldCharType="begin"/>
      </w:r>
      <w:r>
        <w:instrText xml:space="preserve"> ADDIN EN.CITE &lt;EndNote&gt;&lt;Cite&gt;&lt;Author&gt;Rambo&lt;/Author&gt;&lt;Year&gt;1993&lt;/Year&gt;&lt;RecNum&gt;790&lt;/RecNum&gt;&lt;DisplayText&gt;Lewis R. Rambo 1993&lt;/DisplayText&gt;&lt;record&gt;&lt;rec-number&gt;790&lt;/rec-number&gt;&lt;foreign-keys&gt;&lt;key app="EN" db-id="0t0dxv9vetdatmef0a959d9wdwf995aa9dxw"&gt;790&lt;/key&gt;&lt;/foreign-keys&gt;&lt;ref-type name="Book"&gt;6&lt;/ref-type&gt;&lt;contributors&gt;&lt;authors&gt;&lt;author&gt;Lewis R. Rambo&lt;/author&gt;&lt;/authors&gt;&lt;/contributors&gt;&lt;titles&gt;&lt;title&gt;Understanding Religious Conversion&lt;/title&gt;&lt;/titles&gt;&lt;dates&gt;&lt;year&gt;1993&lt;/year&gt;&lt;/dates&gt;&lt;pub-location&gt;New Haven&lt;/pub-location&gt;&lt;publisher&gt;&lt;style face="normal" font="Times New Roman" size="100%"&gt;&amp;#xD;&lt;/style&gt;&lt;/publisher&gt;&lt;urls&gt;&lt;/urls&gt;&lt;/record&gt;&lt;/Cite&gt;&lt;/EndNote&gt;</w:instrText>
      </w:r>
      <w:r>
        <w:fldChar w:fldCharType="separate"/>
      </w:r>
      <w:r>
        <w:rPr>
          <w:noProof/>
        </w:rPr>
        <w:t>Lewis R. Rambo 1993</w:t>
      </w:r>
      <w:r>
        <w:fldChar w:fldCharType="end"/>
      </w:r>
      <w:r>
        <w:t>.</w:t>
      </w:r>
    </w:p>
  </w:footnote>
  <w:footnote w:id="10">
    <w:p w14:paraId="16A43652" w14:textId="77777777" w:rsidR="00672401" w:rsidRDefault="00672401" w:rsidP="00E25DDA">
      <w:pPr>
        <w:pStyle w:val="Funotentext"/>
      </w:pPr>
      <w:r>
        <w:rPr>
          <w:rStyle w:val="Funotenzeichen"/>
        </w:rPr>
        <w:footnoteRef/>
      </w:r>
      <w:r>
        <w:t xml:space="preserve"> </w:t>
      </w:r>
      <w:r>
        <w:fldChar w:fldCharType="begin"/>
      </w:r>
      <w:r>
        <w:instrText xml:space="preserve"> ADDIN EN.CITE &lt;EndNote&gt;&lt;Cite&gt;&lt;Author&gt;James&lt;/Author&gt;&lt;Year&gt;1929&lt;/Year&gt;&lt;RecNum&gt;786&lt;/RecNum&gt;&lt;DisplayText&gt;William James 1929&lt;/DisplayText&gt;&lt;record&gt;&lt;rec-number&gt;786&lt;/rec-number&gt;&lt;foreign-keys&gt;&lt;key app="EN" db-id="0t0dxv9vetdatmef0a959d9wdwf995aa9dxw"&gt;786&lt;/key&gt;&lt;/foreign-keys&gt;&lt;ref-type name="Book"&gt;6&lt;/ref-type&gt;&lt;contributors&gt;&lt;authors&gt;&lt;author&gt;William James&lt;/author&gt;&lt;/authors&gt;&lt;/contributors&gt;&lt;titles&gt;&lt;title&gt;The Varieties of Religious Experience. A Study in Human Nature.&lt;/title&gt;&lt;/titles&gt;&lt;dates&gt;&lt;year&gt;1929&lt;/year&gt;&lt;/dates&gt;&lt;pub-location&gt;London&lt;/pub-location&gt;&lt;urls&gt;&lt;/urls&gt;&lt;/record&gt;&lt;/Cite&gt;&lt;/EndNote&gt;</w:instrText>
      </w:r>
      <w:r>
        <w:fldChar w:fldCharType="separate"/>
      </w:r>
      <w:r>
        <w:rPr>
          <w:noProof/>
        </w:rPr>
        <w:t>William James 1929</w:t>
      </w:r>
      <w:r>
        <w:fldChar w:fldCharType="end"/>
      </w:r>
      <w:r>
        <w:t>.</w:t>
      </w:r>
    </w:p>
  </w:footnote>
  <w:footnote w:id="11">
    <w:p w14:paraId="60C63C97" w14:textId="77777777" w:rsidR="00672401" w:rsidRPr="00FC1D9D" w:rsidRDefault="00672401" w:rsidP="00285751">
      <w:pPr>
        <w:pStyle w:val="Funotentext"/>
        <w:rPr>
          <w:lang w:val="en-US"/>
        </w:rPr>
      </w:pPr>
      <w:r>
        <w:rPr>
          <w:rStyle w:val="Funotenzeichen"/>
        </w:rPr>
        <w:footnoteRef/>
      </w:r>
      <w:r w:rsidRPr="00FC1D9D">
        <w:rPr>
          <w:lang w:val="en-US"/>
        </w:rPr>
        <w:t xml:space="preserve"> Vgl. </w:t>
      </w:r>
      <w:r>
        <w:fldChar w:fldCharType="begin"/>
      </w:r>
      <w:r>
        <w:rPr>
          <w:lang w:val="en-US"/>
        </w:rPr>
        <w:instrText xml:space="preserve"> ADDIN EN.CITE &lt;EndNote&gt;&lt;Cite&gt;&lt;Author&gt;Wingate&lt;/Author&gt;&lt;Year&gt;1998&lt;/Year&gt;&lt;RecNum&gt;788&lt;/RecNum&gt;&lt;DisplayText&gt;Andrew Wingate 1998, &lt;/DisplayText&gt;&lt;record&gt;&lt;rec-number&gt;788&lt;/rec-number&gt;&lt;foreign-keys&gt;&lt;key app="EN" db-id="0t0dxv9vetdatmef0a959d9wdwf995aa9dxw"&gt;788&lt;/key&gt;&lt;/foreign-keys&gt;&lt;ref-type name="Generic"&gt;13&lt;/ref-type&gt;&lt;contributors&gt;&lt;authors&gt;&lt;author&gt;Andrew Wingate&lt;/author&gt;&lt;/authors&gt;&lt;/contributors&gt;&lt;titles&gt;&lt;title&gt;Bekehrung, VII. Missionswissenschaftlich&lt;/title&gt;&lt;secondary-title&gt;RGG&lt;/secondary-title&gt;&lt;/titles&gt;&lt;pages&gt;1237-1239&lt;/pages&gt;&lt;volume&gt;BD. 1&lt;/volume&gt;&lt;edition&gt;4. Aufl. &lt;/edition&gt;&lt;dates&gt;&lt;year&gt;1998&lt;/year&gt;&lt;/dates&gt;&lt;pub-location&gt;Tübingen&lt;/pub-location&gt;&lt;urls&gt;&lt;/urls&gt;&lt;/record&gt;&lt;/Cite&gt;&lt;/EndNote&gt;</w:instrText>
      </w:r>
      <w:r>
        <w:fldChar w:fldCharType="separate"/>
      </w:r>
      <w:r w:rsidRPr="00527C39">
        <w:rPr>
          <w:noProof/>
          <w:lang w:val="en-US"/>
        </w:rPr>
        <w:t xml:space="preserve">Andrew Wingate 1998, </w:t>
      </w:r>
      <w:r>
        <w:fldChar w:fldCharType="end"/>
      </w:r>
      <w:r w:rsidRPr="00FC1D9D">
        <w:rPr>
          <w:lang w:val="en-US"/>
        </w:rPr>
        <w:t>1238f.</w:t>
      </w:r>
    </w:p>
  </w:footnote>
  <w:footnote w:id="12">
    <w:p w14:paraId="2C4E3500" w14:textId="77777777" w:rsidR="00672401" w:rsidRDefault="00672401" w:rsidP="00E25DDA">
      <w:pPr>
        <w:pStyle w:val="Funotentext"/>
      </w:pPr>
      <w:r>
        <w:rPr>
          <w:rStyle w:val="Funotenzeichen"/>
        </w:rPr>
        <w:footnoteRef/>
      </w:r>
      <w:r>
        <w:t xml:space="preserve"> Vgl. alle Überlegungen zum Thema „discipleship“ bei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w:t>
      </w:r>
    </w:p>
  </w:footnote>
  <w:footnote w:id="13">
    <w:p w14:paraId="7595AA1F" w14:textId="77777777" w:rsidR="00672401" w:rsidRDefault="00672401" w:rsidP="0023352B">
      <w:pPr>
        <w:pStyle w:val="Funotentext"/>
      </w:pPr>
      <w:r>
        <w:rPr>
          <w:rStyle w:val="Funotenzeichen"/>
        </w:rPr>
        <w:footnoteRef/>
      </w:r>
      <w:r>
        <w:t xml:space="preserve"> Vgl. </w:t>
      </w:r>
      <w:r>
        <w:fldChar w:fldCharType="begin"/>
      </w:r>
      <w:r>
        <w:instrText xml:space="preserve"> ADDIN EN.CITE &lt;EndNote&gt;&lt;Cite&gt;&lt;Author&gt;Hawkins&lt;/Author&gt;&lt;Year&gt;2009&lt;/Year&gt;&lt;RecNum&gt;1301&lt;/RecNum&gt;&lt;DisplayText&gt;Greg L. Hawkins und Cally Parkinson 2009&lt;/DisplayText&gt;&lt;record&gt;&lt;rec-number&gt;1301&lt;/rec-number&gt;&lt;foreign-keys&gt;&lt;key app="EN" db-id="0t0dxv9vetdatmef0a959d9wdwf995aa9dxw"&gt;1301&lt;/key&gt;&lt;/foreign-keys&gt;&lt;ref-type name="Book"&gt;6&lt;/ref-type&gt;&lt;contributors&gt;&lt;authors&gt;&lt;author&gt;Greg L. Hawkins&lt;/author&gt;&lt;author&gt;Cally Parkinson&lt;/author&gt;&lt;/authors&gt;&lt;/contributors&gt;&lt;titles&gt;&lt;title&gt;Prüfen. Aufrüttelnde Erkenntnisse der REVEAL-Studie&lt;/title&gt;&lt;/titles&gt;&lt;dates&gt;&lt;year&gt;2009&lt;/year&gt;&lt;/dates&gt;&lt;pub-location&gt;Asslar&lt;/pub-location&gt;&lt;urls&gt;&lt;/urls&gt;&lt;/record&gt;&lt;/Cite&gt;&lt;/EndNote&gt;</w:instrText>
      </w:r>
      <w:r>
        <w:fldChar w:fldCharType="separate"/>
      </w:r>
      <w:r>
        <w:rPr>
          <w:noProof/>
        </w:rPr>
        <w:t>Greg L. Hawkins und Cally Parkinson 2009</w:t>
      </w:r>
      <w:r>
        <w:fldChar w:fldCharType="end"/>
      </w:r>
      <w:r>
        <w:t>.</w:t>
      </w:r>
    </w:p>
  </w:footnote>
  <w:footnote w:id="14">
    <w:p w14:paraId="6654B5C5" w14:textId="77777777" w:rsidR="00672401" w:rsidRDefault="00672401" w:rsidP="00E25DDA">
      <w:pPr>
        <w:pStyle w:val="Funotentext"/>
      </w:pPr>
      <w:r>
        <w:rPr>
          <w:rStyle w:val="Funotenzeichen"/>
        </w:rPr>
        <w:footnoteRef/>
      </w:r>
      <w:r>
        <w:t xml:space="preserve"> Vgl. den Religionsstrukturtest von </w:t>
      </w:r>
      <w:r>
        <w:fldChar w:fldCharType="begin"/>
      </w:r>
      <w:r>
        <w:instrText xml:space="preserve"> ADDIN EN.CITE &lt;EndNote&gt;&lt;Cite&gt;&lt;Author&gt;Huber&lt;/Author&gt;&lt;Year&gt;2003&lt;/Year&gt;&lt;RecNum&gt;2439&lt;/RecNum&gt;&lt;DisplayText&gt;Stefan Huber 2003&lt;/DisplayText&gt;&lt;record&gt;&lt;rec-number&gt;2439&lt;/rec-number&gt;&lt;foreign-keys&gt;&lt;key app="EN" db-id="0t0dxv9vetdatmef0a959d9wdwf995aa9dxw"&gt;2439&lt;/key&gt;&lt;/foreign-keys&gt;&lt;ref-type name="Book"&gt;6&lt;/ref-type&gt;&lt;contributors&gt;&lt;authors&gt;&lt;author&gt;Stefan Huber&lt;/author&gt;&lt;/authors&gt;&lt;/contributors&gt;&lt;titles&gt;&lt;title&gt;Zentralität und Inhalt. Ein neues multidimensionales Messmodell der Religiosität&lt;/title&gt;&lt;secondary-title&gt;Veröffentlichungen der Sektion „Religionssoziologie“ der Deutschen Gesellschaft für Soziologie.&lt;/secondary-title&gt;&lt;/titles&gt;&lt;number&gt;Bd. 9&lt;/number&gt;&lt;dates&gt;&lt;year&gt;2003&lt;/year&gt;&lt;/dates&gt;&lt;pub-location&gt;Opladen&lt;/pub-location&gt;&lt;urls&gt;&lt;/urls&gt;&lt;/record&gt;&lt;/Cite&gt;&lt;/EndNote&gt;</w:instrText>
      </w:r>
      <w:r>
        <w:fldChar w:fldCharType="separate"/>
      </w:r>
      <w:r>
        <w:rPr>
          <w:noProof/>
        </w:rPr>
        <w:t>Stefan Huber 2003</w:t>
      </w:r>
      <w:r>
        <w:fldChar w:fldCharType="end"/>
      </w:r>
      <w:r>
        <w:t>.</w:t>
      </w:r>
    </w:p>
  </w:footnote>
  <w:footnote w:id="15">
    <w:p w14:paraId="0A0B08E0" w14:textId="77777777" w:rsidR="00672401" w:rsidRDefault="00672401" w:rsidP="00CF7AA1">
      <w:pPr>
        <w:pStyle w:val="Funotentext"/>
      </w:pPr>
      <w:r>
        <w:rPr>
          <w:rStyle w:val="Funotenzeichen"/>
        </w:rPr>
        <w:footnoteRef/>
      </w:r>
      <w:r>
        <w:t xml:space="preserve"> Vgl. </w:t>
      </w:r>
      <w:r>
        <w:fldChar w:fldCharType="begin"/>
      </w:r>
      <w:r>
        <w:instrText xml:space="preserve"> ADDIN EN.CITE &lt;EndNote&gt;&lt;Cite&gt;&lt;Author&gt;MacDonald&lt;/Author&gt;&lt;Year&gt;2009&lt;/Year&gt;&lt;RecNum&gt;1137&lt;/RecNum&gt;&lt;DisplayText&gt;Gordon MacDonald 2009, &lt;/DisplayText&gt;&lt;record&gt;&lt;rec-number&gt;1137&lt;/rec-number&gt;&lt;foreign-keys&gt;&lt;key app="EN" db-id="0t0dxv9vetdatmef0a959d9wdwf995aa9dxw"&gt;1137&lt;/key&gt;&lt;/foreign-keys&gt;&lt;ref-type name="Journal Article"&gt;17&lt;/ref-type&gt;&lt;contributors&gt;&lt;authors&gt;&lt;author&gt;Gordon MacDonald&lt;/author&gt;&lt;/authors&gt;&lt;/contributors&gt;&lt;titles&gt;&lt;title&gt;Unsere West Point Gemeinde-Akademie. Mit LDI-Groups junge Leiter aufbauen&lt;/title&gt;&lt;secondary-title&gt;Aufatmen&lt;/secondary-title&gt;&lt;/titles&gt;&lt;periodical&gt;&lt;full-title&gt;Aufatmen&lt;/full-title&gt;&lt;/periodical&gt;&lt;pages&gt;88-92&lt;/pages&gt;&lt;volume&gt;Heft 1&lt;/volume&gt;&lt;keywords&gt;&lt;keyword&gt;Mitarbeiter, Jüngerschaft, Schulung, Charakter, Story, Gebet, Leiter, Leitung, Geistliche Leitung&lt;/keyword&gt;&lt;/keywords&gt;&lt;dates&gt;&lt;year&gt;2009&lt;/year&gt;&lt;/dates&gt;&lt;urls&gt;&lt;/urls&gt;&lt;/record&gt;&lt;/Cite&gt;&lt;/EndNote&gt;</w:instrText>
      </w:r>
      <w:r>
        <w:fldChar w:fldCharType="separate"/>
      </w:r>
      <w:r>
        <w:rPr>
          <w:noProof/>
        </w:rPr>
        <w:t xml:space="preserve">Gordon MacDonald 2009, </w:t>
      </w:r>
      <w:r>
        <w:fldChar w:fldCharType="end"/>
      </w:r>
      <w:r>
        <w:t xml:space="preserve">88-92. Ausführlicher ist das Konzept in Romanform dargestellt in dem neuen Buch von </w:t>
      </w:r>
      <w:r>
        <w:fldChar w:fldCharType="begin"/>
      </w:r>
      <w:r>
        <w:instrText xml:space="preserve"> ADDIN EN.CITE &lt;EndNote&gt;&lt;Cite&gt;&lt;Author&gt;MacDonald&lt;/Author&gt;&lt;Year&gt;2011&lt;/Year&gt;&lt;RecNum&gt;2521&lt;/RecNum&gt;&lt;DisplayText&gt;Gordon MacDonald 2011&lt;/DisplayText&gt;&lt;record&gt;&lt;rec-number&gt;2521&lt;/rec-number&gt;&lt;foreign-keys&gt;&lt;key app="EN" db-id="0t0dxv9vetdatmef0a959d9wdwf995aa9dxw"&gt;2521&lt;/key&gt;&lt;/foreign-keys&gt;&lt;ref-type name="Book"&gt;6&lt;/ref-type&gt;&lt;contributors&gt;&lt;authors&gt;&lt;author&gt;Gordon MacDonald&lt;/author&gt;&lt;/authors&gt;&lt;/contributors&gt;&lt;titles&gt;&lt;title&gt;Tiefgänger. Eine Geschichte über Menschen mit Potenzial, Leiter mit dem richtigen Blick und das Glück, diese Welt zu verändern&lt;/title&gt;&lt;/titles&gt;&lt;dates&gt;&lt;year&gt;2011&lt;/year&gt;&lt;/dates&gt;&lt;pub-location&gt;Asslar&lt;/pub-location&gt;&lt;urls&gt;&lt;/urls&gt;&lt;/record&gt;&lt;/Cite&gt;&lt;/EndNote&gt;</w:instrText>
      </w:r>
      <w:r>
        <w:fldChar w:fldCharType="separate"/>
      </w:r>
      <w:r>
        <w:rPr>
          <w:noProof/>
        </w:rPr>
        <w:t>Gordon MacDonald 2011</w:t>
      </w:r>
      <w:r>
        <w:fldChar w:fldCharType="end"/>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1E7B" w14:textId="77777777" w:rsidR="00672401" w:rsidRDefault="00672401">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34FFBB9B" wp14:editId="51CCF5E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629DB" w14:textId="77777777" w:rsidR="00672401" w:rsidRDefault="006724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2BE9DB50" w14:textId="77777777" w:rsidR="0089081C" w:rsidRDefault="0089081C"/>
                </w:txbxContent>
              </v:textbox>
            </v:shape>
          </w:pict>
        </mc:Fallback>
      </mc:AlternateContent>
    </w:r>
    <w:r>
      <w:rPr>
        <w:noProof/>
        <w:lang w:eastAsia="de-DE"/>
      </w:rPr>
      <w:drawing>
        <wp:anchor distT="0" distB="0" distL="114300" distR="114300" simplePos="0" relativeHeight="251656704" behindDoc="1" locked="0" layoutInCell="1" allowOverlap="1" wp14:anchorId="3F01D15E" wp14:editId="43C9DD10">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32328774" wp14:editId="57834268">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094D2456" w14:textId="77777777" w:rsidR="00672401" w:rsidRPr="00892CF7" w:rsidRDefault="00672401">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71A102E"/>
    <w:multiLevelType w:val="hybridMultilevel"/>
    <w:tmpl w:val="E092F5FC"/>
    <w:lvl w:ilvl="0" w:tplc="6C28BA9E">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5">
    <w:nsid w:val="087067BA"/>
    <w:multiLevelType w:val="hybridMultilevel"/>
    <w:tmpl w:val="47AC18B2"/>
    <w:lvl w:ilvl="0" w:tplc="941C8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5F59B4"/>
    <w:multiLevelType w:val="hybridMultilevel"/>
    <w:tmpl w:val="275C4E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D4116AA"/>
    <w:multiLevelType w:val="hybridMultilevel"/>
    <w:tmpl w:val="66E6F4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684758A"/>
    <w:multiLevelType w:val="hybridMultilevel"/>
    <w:tmpl w:val="C2582212"/>
    <w:lvl w:ilvl="0" w:tplc="9DF0A6C8">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12">
    <w:nsid w:val="246038C9"/>
    <w:multiLevelType w:val="hybridMultilevel"/>
    <w:tmpl w:val="5F34D7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AF24B63"/>
    <w:multiLevelType w:val="hybridMultilevel"/>
    <w:tmpl w:val="C8C256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6313EE"/>
    <w:multiLevelType w:val="hybridMultilevel"/>
    <w:tmpl w:val="6E369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3DA6AF7"/>
    <w:multiLevelType w:val="hybridMultilevel"/>
    <w:tmpl w:val="EE1433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8">
    <w:nsid w:val="3F363E86"/>
    <w:multiLevelType w:val="hybridMultilevel"/>
    <w:tmpl w:val="995866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1">
    <w:nsid w:val="44A11CCB"/>
    <w:multiLevelType w:val="hybridMultilevel"/>
    <w:tmpl w:val="85DE3D5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64A5166"/>
    <w:multiLevelType w:val="hybridMultilevel"/>
    <w:tmpl w:val="D68AE7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75A0F90"/>
    <w:multiLevelType w:val="hybridMultilevel"/>
    <w:tmpl w:val="9408954E"/>
    <w:lvl w:ilvl="0" w:tplc="9DF0A6C8">
      <w:start w:val="1"/>
      <w:numFmt w:val="decimal"/>
      <w:lvlText w:val="%1."/>
      <w:lvlJc w:val="left"/>
      <w:pPr>
        <w:ind w:left="1069"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8BA4394"/>
    <w:multiLevelType w:val="hybridMultilevel"/>
    <w:tmpl w:val="54EEC878"/>
    <w:lvl w:ilvl="0" w:tplc="D56624CE">
      <w:start w:val="1"/>
      <w:numFmt w:val="lowerLetter"/>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25">
    <w:nsid w:val="4A1F4058"/>
    <w:multiLevelType w:val="hybridMultilevel"/>
    <w:tmpl w:val="85AC7F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F732546"/>
    <w:multiLevelType w:val="hybridMultilevel"/>
    <w:tmpl w:val="5BC0582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0D008B3"/>
    <w:multiLevelType w:val="hybridMultilevel"/>
    <w:tmpl w:val="B1849A18"/>
    <w:lvl w:ilvl="0" w:tplc="BD2241E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28">
    <w:nsid w:val="51FD1D2D"/>
    <w:multiLevelType w:val="hybridMultilevel"/>
    <w:tmpl w:val="F7ECB0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7F062C7"/>
    <w:multiLevelType w:val="hybridMultilevel"/>
    <w:tmpl w:val="728E21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FEE7490"/>
    <w:multiLevelType w:val="hybridMultilevel"/>
    <w:tmpl w:val="050288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250753C"/>
    <w:multiLevelType w:val="hybridMultilevel"/>
    <w:tmpl w:val="913E6F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2C44DF9"/>
    <w:multiLevelType w:val="hybridMultilevel"/>
    <w:tmpl w:val="2EA60776"/>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8113201"/>
    <w:multiLevelType w:val="hybridMultilevel"/>
    <w:tmpl w:val="30C8C1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5">
    <w:nsid w:val="6B97419A"/>
    <w:multiLevelType w:val="hybridMultilevel"/>
    <w:tmpl w:val="D78CC6A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8A498E"/>
    <w:multiLevelType w:val="hybridMultilevel"/>
    <w:tmpl w:val="5F804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EBB5A64"/>
    <w:multiLevelType w:val="hybridMultilevel"/>
    <w:tmpl w:val="E84AEE44"/>
    <w:lvl w:ilvl="0" w:tplc="359E3CB4">
      <w:start w:val="1"/>
      <w:numFmt w:val="decimal"/>
      <w:lvlText w:val="%1."/>
      <w:lvlJc w:val="left"/>
      <w:pPr>
        <w:tabs>
          <w:tab w:val="num" w:pos="720"/>
        </w:tabs>
        <w:ind w:left="720" w:hanging="360"/>
      </w:pPr>
    </w:lvl>
    <w:lvl w:ilvl="1" w:tplc="1E504E8E" w:tentative="1">
      <w:start w:val="1"/>
      <w:numFmt w:val="decimal"/>
      <w:lvlText w:val="%2."/>
      <w:lvlJc w:val="left"/>
      <w:pPr>
        <w:tabs>
          <w:tab w:val="num" w:pos="1440"/>
        </w:tabs>
        <w:ind w:left="1440" w:hanging="360"/>
      </w:pPr>
    </w:lvl>
    <w:lvl w:ilvl="2" w:tplc="358CA862" w:tentative="1">
      <w:start w:val="1"/>
      <w:numFmt w:val="decimal"/>
      <w:lvlText w:val="%3."/>
      <w:lvlJc w:val="left"/>
      <w:pPr>
        <w:tabs>
          <w:tab w:val="num" w:pos="2160"/>
        </w:tabs>
        <w:ind w:left="2160" w:hanging="360"/>
      </w:pPr>
    </w:lvl>
    <w:lvl w:ilvl="3" w:tplc="364A46C8" w:tentative="1">
      <w:start w:val="1"/>
      <w:numFmt w:val="decimal"/>
      <w:lvlText w:val="%4."/>
      <w:lvlJc w:val="left"/>
      <w:pPr>
        <w:tabs>
          <w:tab w:val="num" w:pos="2880"/>
        </w:tabs>
        <w:ind w:left="2880" w:hanging="360"/>
      </w:pPr>
    </w:lvl>
    <w:lvl w:ilvl="4" w:tplc="BF4C7A96" w:tentative="1">
      <w:start w:val="1"/>
      <w:numFmt w:val="decimal"/>
      <w:lvlText w:val="%5."/>
      <w:lvlJc w:val="left"/>
      <w:pPr>
        <w:tabs>
          <w:tab w:val="num" w:pos="3600"/>
        </w:tabs>
        <w:ind w:left="3600" w:hanging="360"/>
      </w:pPr>
    </w:lvl>
    <w:lvl w:ilvl="5" w:tplc="51AEE420" w:tentative="1">
      <w:start w:val="1"/>
      <w:numFmt w:val="decimal"/>
      <w:lvlText w:val="%6."/>
      <w:lvlJc w:val="left"/>
      <w:pPr>
        <w:tabs>
          <w:tab w:val="num" w:pos="4320"/>
        </w:tabs>
        <w:ind w:left="4320" w:hanging="360"/>
      </w:pPr>
    </w:lvl>
    <w:lvl w:ilvl="6" w:tplc="1F1E1C78" w:tentative="1">
      <w:start w:val="1"/>
      <w:numFmt w:val="decimal"/>
      <w:lvlText w:val="%7."/>
      <w:lvlJc w:val="left"/>
      <w:pPr>
        <w:tabs>
          <w:tab w:val="num" w:pos="5040"/>
        </w:tabs>
        <w:ind w:left="5040" w:hanging="360"/>
      </w:pPr>
    </w:lvl>
    <w:lvl w:ilvl="7" w:tplc="6A8AA992" w:tentative="1">
      <w:start w:val="1"/>
      <w:numFmt w:val="decimal"/>
      <w:lvlText w:val="%8."/>
      <w:lvlJc w:val="left"/>
      <w:pPr>
        <w:tabs>
          <w:tab w:val="num" w:pos="5760"/>
        </w:tabs>
        <w:ind w:left="5760" w:hanging="360"/>
      </w:pPr>
    </w:lvl>
    <w:lvl w:ilvl="8" w:tplc="B0D203F8" w:tentative="1">
      <w:start w:val="1"/>
      <w:numFmt w:val="decimal"/>
      <w:lvlText w:val="%9."/>
      <w:lvlJc w:val="left"/>
      <w:pPr>
        <w:tabs>
          <w:tab w:val="num" w:pos="6480"/>
        </w:tabs>
        <w:ind w:left="6480" w:hanging="360"/>
      </w:pPr>
    </w:lvl>
  </w:abstractNum>
  <w:abstractNum w:abstractNumId="38">
    <w:nsid w:val="6EDD63F1"/>
    <w:multiLevelType w:val="hybridMultilevel"/>
    <w:tmpl w:val="C25CD20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6486A61"/>
    <w:multiLevelType w:val="hybridMultilevel"/>
    <w:tmpl w:val="8E1086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A600B61"/>
    <w:multiLevelType w:val="hybridMultilevel"/>
    <w:tmpl w:val="897AA0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CEE7EE7"/>
    <w:multiLevelType w:val="hybridMultilevel"/>
    <w:tmpl w:val="C63227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7D516863"/>
    <w:multiLevelType w:val="hybridMultilevel"/>
    <w:tmpl w:val="B18016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DB55ECD"/>
    <w:multiLevelType w:val="hybridMultilevel"/>
    <w:tmpl w:val="5178ED26"/>
    <w:lvl w:ilvl="0" w:tplc="67DE1ED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nsid w:val="7EAF4CAD"/>
    <w:multiLevelType w:val="hybridMultilevel"/>
    <w:tmpl w:val="7DF210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9"/>
  </w:num>
  <w:num w:numId="4">
    <w:abstractNumId w:val="3"/>
  </w:num>
  <w:num w:numId="5">
    <w:abstractNumId w:val="2"/>
  </w:num>
  <w:num w:numId="6">
    <w:abstractNumId w:val="1"/>
  </w:num>
  <w:num w:numId="7">
    <w:abstractNumId w:val="0"/>
  </w:num>
  <w:num w:numId="8">
    <w:abstractNumId w:val="20"/>
  </w:num>
  <w:num w:numId="9">
    <w:abstractNumId w:val="10"/>
  </w:num>
  <w:num w:numId="10">
    <w:abstractNumId w:val="34"/>
  </w:num>
  <w:num w:numId="11">
    <w:abstractNumId w:val="8"/>
  </w:num>
  <w:num w:numId="12">
    <w:abstractNumId w:val="15"/>
  </w:num>
  <w:num w:numId="13">
    <w:abstractNumId w:val="1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6"/>
  </w:num>
  <w:num w:numId="18">
    <w:abstractNumId w:val="36"/>
  </w:num>
  <w:num w:numId="19">
    <w:abstractNumId w:val="44"/>
  </w:num>
  <w:num w:numId="20">
    <w:abstractNumId w:val="28"/>
  </w:num>
  <w:num w:numId="21">
    <w:abstractNumId w:val="42"/>
  </w:num>
  <w:num w:numId="22">
    <w:abstractNumId w:val="29"/>
  </w:num>
  <w:num w:numId="23">
    <w:abstractNumId w:val="7"/>
  </w:num>
  <w:num w:numId="24">
    <w:abstractNumId w:val="23"/>
  </w:num>
  <w:num w:numId="25">
    <w:abstractNumId w:val="43"/>
  </w:num>
  <w:num w:numId="26">
    <w:abstractNumId w:val="30"/>
  </w:num>
  <w:num w:numId="27">
    <w:abstractNumId w:val="5"/>
  </w:num>
  <w:num w:numId="28">
    <w:abstractNumId w:val="14"/>
  </w:num>
  <w:num w:numId="29">
    <w:abstractNumId w:val="13"/>
  </w:num>
  <w:num w:numId="30">
    <w:abstractNumId w:val="16"/>
  </w:num>
  <w:num w:numId="31">
    <w:abstractNumId w:val="18"/>
  </w:num>
  <w:num w:numId="32">
    <w:abstractNumId w:val="4"/>
  </w:num>
  <w:num w:numId="33">
    <w:abstractNumId w:val="26"/>
  </w:num>
  <w:num w:numId="34">
    <w:abstractNumId w:val="21"/>
  </w:num>
  <w:num w:numId="35">
    <w:abstractNumId w:val="38"/>
  </w:num>
  <w:num w:numId="36">
    <w:abstractNumId w:val="24"/>
  </w:num>
  <w:num w:numId="37">
    <w:abstractNumId w:val="27"/>
  </w:num>
  <w:num w:numId="38">
    <w:abstractNumId w:val="40"/>
  </w:num>
  <w:num w:numId="39">
    <w:abstractNumId w:val="41"/>
  </w:num>
  <w:num w:numId="40">
    <w:abstractNumId w:val="22"/>
  </w:num>
  <w:num w:numId="41">
    <w:abstractNumId w:val="37"/>
  </w:num>
  <w:num w:numId="42">
    <w:abstractNumId w:val="35"/>
  </w:num>
  <w:num w:numId="43">
    <w:abstractNumId w:val="25"/>
  </w:num>
  <w:num w:numId="44">
    <w:abstractNumId w:val="39"/>
  </w:num>
  <w:num w:numId="45">
    <w:abstractNumId w:val="12"/>
  </w:num>
  <w:num w:numId="46">
    <w:abstractNumId w:val="31"/>
  </w:num>
  <w:num w:numId="47">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4043"/>
    <w:rsid w:val="000153DA"/>
    <w:rsid w:val="0001554B"/>
    <w:rsid w:val="000155A5"/>
    <w:rsid w:val="00016127"/>
    <w:rsid w:val="00016409"/>
    <w:rsid w:val="000165E7"/>
    <w:rsid w:val="00016AD8"/>
    <w:rsid w:val="000174BB"/>
    <w:rsid w:val="00021000"/>
    <w:rsid w:val="000215A6"/>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4D91"/>
    <w:rsid w:val="00065399"/>
    <w:rsid w:val="0006553D"/>
    <w:rsid w:val="000658DA"/>
    <w:rsid w:val="00065D8B"/>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2F49"/>
    <w:rsid w:val="000B4558"/>
    <w:rsid w:val="000B47EB"/>
    <w:rsid w:val="000B517F"/>
    <w:rsid w:val="000B63E2"/>
    <w:rsid w:val="000B691A"/>
    <w:rsid w:val="000B6CBE"/>
    <w:rsid w:val="000C1E93"/>
    <w:rsid w:val="000C279F"/>
    <w:rsid w:val="000C2AE0"/>
    <w:rsid w:val="000C350F"/>
    <w:rsid w:val="000C473F"/>
    <w:rsid w:val="000C4A1C"/>
    <w:rsid w:val="000C539B"/>
    <w:rsid w:val="000C6111"/>
    <w:rsid w:val="000C69CC"/>
    <w:rsid w:val="000C731A"/>
    <w:rsid w:val="000D02C9"/>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50E"/>
    <w:rsid w:val="000E373F"/>
    <w:rsid w:val="000E494A"/>
    <w:rsid w:val="000E4977"/>
    <w:rsid w:val="000E4BC8"/>
    <w:rsid w:val="000E4E90"/>
    <w:rsid w:val="000E6211"/>
    <w:rsid w:val="000E6459"/>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1E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3AD"/>
    <w:rsid w:val="00145A3B"/>
    <w:rsid w:val="0014669B"/>
    <w:rsid w:val="001467D8"/>
    <w:rsid w:val="001479BC"/>
    <w:rsid w:val="001501A6"/>
    <w:rsid w:val="00151810"/>
    <w:rsid w:val="001525D9"/>
    <w:rsid w:val="00152F08"/>
    <w:rsid w:val="0015305E"/>
    <w:rsid w:val="001533D1"/>
    <w:rsid w:val="00153989"/>
    <w:rsid w:val="0015677D"/>
    <w:rsid w:val="00157511"/>
    <w:rsid w:val="00157851"/>
    <w:rsid w:val="001578A1"/>
    <w:rsid w:val="00157AD0"/>
    <w:rsid w:val="00157CFC"/>
    <w:rsid w:val="00160024"/>
    <w:rsid w:val="001601CA"/>
    <w:rsid w:val="00160F7B"/>
    <w:rsid w:val="00161420"/>
    <w:rsid w:val="00162708"/>
    <w:rsid w:val="00163675"/>
    <w:rsid w:val="00163F8A"/>
    <w:rsid w:val="00164F08"/>
    <w:rsid w:val="001650A8"/>
    <w:rsid w:val="00167B0A"/>
    <w:rsid w:val="00167C9F"/>
    <w:rsid w:val="00167E46"/>
    <w:rsid w:val="00171D93"/>
    <w:rsid w:val="00172558"/>
    <w:rsid w:val="00173716"/>
    <w:rsid w:val="0017421B"/>
    <w:rsid w:val="0017436F"/>
    <w:rsid w:val="00174A00"/>
    <w:rsid w:val="00175E3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6DD4"/>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57A"/>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BE"/>
    <w:rsid w:val="002209DB"/>
    <w:rsid w:val="002218FD"/>
    <w:rsid w:val="00221973"/>
    <w:rsid w:val="00222288"/>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352B"/>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DD2"/>
    <w:rsid w:val="00250EA8"/>
    <w:rsid w:val="00253039"/>
    <w:rsid w:val="00254DB5"/>
    <w:rsid w:val="002564FB"/>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DB4"/>
    <w:rsid w:val="00284E44"/>
    <w:rsid w:val="00284F96"/>
    <w:rsid w:val="0028545B"/>
    <w:rsid w:val="00285751"/>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785"/>
    <w:rsid w:val="002A3CB6"/>
    <w:rsid w:val="002A4793"/>
    <w:rsid w:val="002A4D94"/>
    <w:rsid w:val="002A4F88"/>
    <w:rsid w:val="002A50F5"/>
    <w:rsid w:val="002A58A8"/>
    <w:rsid w:val="002A5A49"/>
    <w:rsid w:val="002A6610"/>
    <w:rsid w:val="002A71F8"/>
    <w:rsid w:val="002A7BEA"/>
    <w:rsid w:val="002B091A"/>
    <w:rsid w:val="002B0DFB"/>
    <w:rsid w:val="002B3191"/>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0DAA"/>
    <w:rsid w:val="002E10D9"/>
    <w:rsid w:val="002E138C"/>
    <w:rsid w:val="002E1791"/>
    <w:rsid w:val="002E294B"/>
    <w:rsid w:val="002E323D"/>
    <w:rsid w:val="002E332D"/>
    <w:rsid w:val="002E3383"/>
    <w:rsid w:val="002E5D88"/>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3AAD"/>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49D"/>
    <w:rsid w:val="00344512"/>
    <w:rsid w:val="00344CA1"/>
    <w:rsid w:val="00344E98"/>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3BB"/>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25B"/>
    <w:rsid w:val="00383832"/>
    <w:rsid w:val="00383AB8"/>
    <w:rsid w:val="00383D1B"/>
    <w:rsid w:val="0038440D"/>
    <w:rsid w:val="003844AF"/>
    <w:rsid w:val="0038677F"/>
    <w:rsid w:val="00387294"/>
    <w:rsid w:val="003876F0"/>
    <w:rsid w:val="00387828"/>
    <w:rsid w:val="0039015A"/>
    <w:rsid w:val="00390633"/>
    <w:rsid w:val="00390B29"/>
    <w:rsid w:val="00390F89"/>
    <w:rsid w:val="00391067"/>
    <w:rsid w:val="0039125D"/>
    <w:rsid w:val="0039151C"/>
    <w:rsid w:val="00391D5D"/>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350"/>
    <w:rsid w:val="003A4571"/>
    <w:rsid w:val="003A4A96"/>
    <w:rsid w:val="003A63E2"/>
    <w:rsid w:val="003A6428"/>
    <w:rsid w:val="003A6BF7"/>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4175"/>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A16"/>
    <w:rsid w:val="00412B7B"/>
    <w:rsid w:val="00413870"/>
    <w:rsid w:val="00413B3A"/>
    <w:rsid w:val="0041445F"/>
    <w:rsid w:val="00415016"/>
    <w:rsid w:val="00415165"/>
    <w:rsid w:val="00415A56"/>
    <w:rsid w:val="004163BD"/>
    <w:rsid w:val="00416554"/>
    <w:rsid w:val="00416CF2"/>
    <w:rsid w:val="00416D9F"/>
    <w:rsid w:val="0041702F"/>
    <w:rsid w:val="0041752B"/>
    <w:rsid w:val="00417571"/>
    <w:rsid w:val="00421891"/>
    <w:rsid w:val="00421CF7"/>
    <w:rsid w:val="00422FA3"/>
    <w:rsid w:val="004241A5"/>
    <w:rsid w:val="004245F2"/>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65C4"/>
    <w:rsid w:val="00437EF2"/>
    <w:rsid w:val="00440886"/>
    <w:rsid w:val="0044227F"/>
    <w:rsid w:val="0044351D"/>
    <w:rsid w:val="004441DB"/>
    <w:rsid w:val="0044515B"/>
    <w:rsid w:val="004455E9"/>
    <w:rsid w:val="00445854"/>
    <w:rsid w:val="00445CB0"/>
    <w:rsid w:val="00445DBC"/>
    <w:rsid w:val="004507EC"/>
    <w:rsid w:val="00450C8B"/>
    <w:rsid w:val="00450DCD"/>
    <w:rsid w:val="00450E80"/>
    <w:rsid w:val="0045109B"/>
    <w:rsid w:val="004512DF"/>
    <w:rsid w:val="00451C30"/>
    <w:rsid w:val="00451F75"/>
    <w:rsid w:val="00452AC6"/>
    <w:rsid w:val="00452F0B"/>
    <w:rsid w:val="00452F8A"/>
    <w:rsid w:val="00453864"/>
    <w:rsid w:val="0045446E"/>
    <w:rsid w:val="00454EAC"/>
    <w:rsid w:val="00457957"/>
    <w:rsid w:val="0046089B"/>
    <w:rsid w:val="00460B3C"/>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4EB1"/>
    <w:rsid w:val="00474F75"/>
    <w:rsid w:val="004764E3"/>
    <w:rsid w:val="0047683E"/>
    <w:rsid w:val="00481431"/>
    <w:rsid w:val="00481CC0"/>
    <w:rsid w:val="00481F36"/>
    <w:rsid w:val="0048236F"/>
    <w:rsid w:val="00483152"/>
    <w:rsid w:val="0048388B"/>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39D7"/>
    <w:rsid w:val="004B4264"/>
    <w:rsid w:val="004B4C72"/>
    <w:rsid w:val="004B56FA"/>
    <w:rsid w:val="004B689B"/>
    <w:rsid w:val="004B6B28"/>
    <w:rsid w:val="004B6D96"/>
    <w:rsid w:val="004B7180"/>
    <w:rsid w:val="004C094E"/>
    <w:rsid w:val="004C0B8E"/>
    <w:rsid w:val="004C135E"/>
    <w:rsid w:val="004C25A1"/>
    <w:rsid w:val="004C3C10"/>
    <w:rsid w:val="004C44F5"/>
    <w:rsid w:val="004C4B49"/>
    <w:rsid w:val="004C5757"/>
    <w:rsid w:val="004C5A0E"/>
    <w:rsid w:val="004C6165"/>
    <w:rsid w:val="004C64F7"/>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016"/>
    <w:rsid w:val="004E6F4F"/>
    <w:rsid w:val="004E7896"/>
    <w:rsid w:val="004F01B1"/>
    <w:rsid w:val="004F0C47"/>
    <w:rsid w:val="004F233E"/>
    <w:rsid w:val="004F31F4"/>
    <w:rsid w:val="004F3344"/>
    <w:rsid w:val="004F5A78"/>
    <w:rsid w:val="004F5C78"/>
    <w:rsid w:val="004F6125"/>
    <w:rsid w:val="004F6481"/>
    <w:rsid w:val="00500910"/>
    <w:rsid w:val="0050107D"/>
    <w:rsid w:val="0050122E"/>
    <w:rsid w:val="00502A49"/>
    <w:rsid w:val="0050303E"/>
    <w:rsid w:val="00504AE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0CC"/>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4ECB"/>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AB6"/>
    <w:rsid w:val="00597BB2"/>
    <w:rsid w:val="005A0254"/>
    <w:rsid w:val="005A05A7"/>
    <w:rsid w:val="005A070E"/>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50D6"/>
    <w:rsid w:val="005B610D"/>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6F6A"/>
    <w:rsid w:val="005D708F"/>
    <w:rsid w:val="005D73AB"/>
    <w:rsid w:val="005D7630"/>
    <w:rsid w:val="005E0A2C"/>
    <w:rsid w:val="005E0D08"/>
    <w:rsid w:val="005E35F2"/>
    <w:rsid w:val="005E3B22"/>
    <w:rsid w:val="005E4652"/>
    <w:rsid w:val="005E56AF"/>
    <w:rsid w:val="005E58FC"/>
    <w:rsid w:val="005E68B4"/>
    <w:rsid w:val="005E7651"/>
    <w:rsid w:val="005E792D"/>
    <w:rsid w:val="005E7DC5"/>
    <w:rsid w:val="005F087F"/>
    <w:rsid w:val="005F11B5"/>
    <w:rsid w:val="005F141F"/>
    <w:rsid w:val="005F1A07"/>
    <w:rsid w:val="005F1AB5"/>
    <w:rsid w:val="005F2724"/>
    <w:rsid w:val="005F2A5F"/>
    <w:rsid w:val="005F2DDE"/>
    <w:rsid w:val="005F3F5D"/>
    <w:rsid w:val="005F5E1E"/>
    <w:rsid w:val="005F67D0"/>
    <w:rsid w:val="005F6E37"/>
    <w:rsid w:val="005F6F10"/>
    <w:rsid w:val="005F7186"/>
    <w:rsid w:val="005F7DF3"/>
    <w:rsid w:val="006000CF"/>
    <w:rsid w:val="0060028A"/>
    <w:rsid w:val="006011EF"/>
    <w:rsid w:val="00602486"/>
    <w:rsid w:val="006026DB"/>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4DFC"/>
    <w:rsid w:val="00657F0B"/>
    <w:rsid w:val="00662400"/>
    <w:rsid w:val="0066316E"/>
    <w:rsid w:val="00664EB4"/>
    <w:rsid w:val="006652CC"/>
    <w:rsid w:val="0066530A"/>
    <w:rsid w:val="006656BD"/>
    <w:rsid w:val="0066655D"/>
    <w:rsid w:val="00666A79"/>
    <w:rsid w:val="00667502"/>
    <w:rsid w:val="00670415"/>
    <w:rsid w:val="00671212"/>
    <w:rsid w:val="006719B9"/>
    <w:rsid w:val="00672401"/>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876DE"/>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29AA"/>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4D0C"/>
    <w:rsid w:val="0070624B"/>
    <w:rsid w:val="0070660F"/>
    <w:rsid w:val="00706D9B"/>
    <w:rsid w:val="00707A03"/>
    <w:rsid w:val="00710101"/>
    <w:rsid w:val="0071056C"/>
    <w:rsid w:val="007110F7"/>
    <w:rsid w:val="00711BB9"/>
    <w:rsid w:val="00711BC4"/>
    <w:rsid w:val="0071276A"/>
    <w:rsid w:val="00714C42"/>
    <w:rsid w:val="00715219"/>
    <w:rsid w:val="00716122"/>
    <w:rsid w:val="007164A9"/>
    <w:rsid w:val="007164CD"/>
    <w:rsid w:val="00717A86"/>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3F80"/>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5D4F"/>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77EBC"/>
    <w:rsid w:val="0078015E"/>
    <w:rsid w:val="007804DD"/>
    <w:rsid w:val="007805EE"/>
    <w:rsid w:val="00781091"/>
    <w:rsid w:val="00782076"/>
    <w:rsid w:val="00783B81"/>
    <w:rsid w:val="00784018"/>
    <w:rsid w:val="00784753"/>
    <w:rsid w:val="0078546E"/>
    <w:rsid w:val="0078610A"/>
    <w:rsid w:val="007870FB"/>
    <w:rsid w:val="00790293"/>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39A2"/>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B7C8A"/>
    <w:rsid w:val="007C00F9"/>
    <w:rsid w:val="007C012D"/>
    <w:rsid w:val="007C1DDF"/>
    <w:rsid w:val="007C22B3"/>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649"/>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0F4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2EA8"/>
    <w:rsid w:val="00823CC7"/>
    <w:rsid w:val="008246C6"/>
    <w:rsid w:val="008248EB"/>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0"/>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1F65"/>
    <w:rsid w:val="0086257E"/>
    <w:rsid w:val="00862836"/>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8BA"/>
    <w:rsid w:val="00887E5D"/>
    <w:rsid w:val="0089081C"/>
    <w:rsid w:val="0089100E"/>
    <w:rsid w:val="00893271"/>
    <w:rsid w:val="0089434F"/>
    <w:rsid w:val="008943C0"/>
    <w:rsid w:val="0089459F"/>
    <w:rsid w:val="00894AC6"/>
    <w:rsid w:val="00894B51"/>
    <w:rsid w:val="00894FDA"/>
    <w:rsid w:val="0089508D"/>
    <w:rsid w:val="00895661"/>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3F48"/>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2DE4"/>
    <w:rsid w:val="008F4522"/>
    <w:rsid w:val="008F49D4"/>
    <w:rsid w:val="008F4AA6"/>
    <w:rsid w:val="008F5B6D"/>
    <w:rsid w:val="008F5C70"/>
    <w:rsid w:val="008F6DD6"/>
    <w:rsid w:val="008F7E37"/>
    <w:rsid w:val="009001C3"/>
    <w:rsid w:val="00902DD7"/>
    <w:rsid w:val="0090341C"/>
    <w:rsid w:val="00903DE2"/>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6320"/>
    <w:rsid w:val="009370BE"/>
    <w:rsid w:val="00937907"/>
    <w:rsid w:val="00937A23"/>
    <w:rsid w:val="00940B68"/>
    <w:rsid w:val="00940D2A"/>
    <w:rsid w:val="009415D3"/>
    <w:rsid w:val="00942EC8"/>
    <w:rsid w:val="009438E3"/>
    <w:rsid w:val="00944A88"/>
    <w:rsid w:val="00945326"/>
    <w:rsid w:val="0094646D"/>
    <w:rsid w:val="00946AB5"/>
    <w:rsid w:val="009502B1"/>
    <w:rsid w:val="00950DC3"/>
    <w:rsid w:val="00950F7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3C99"/>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135"/>
    <w:rsid w:val="009A2AC2"/>
    <w:rsid w:val="009A33C3"/>
    <w:rsid w:val="009A3CAD"/>
    <w:rsid w:val="009A4709"/>
    <w:rsid w:val="009A5077"/>
    <w:rsid w:val="009A538A"/>
    <w:rsid w:val="009A56C7"/>
    <w:rsid w:val="009A5744"/>
    <w:rsid w:val="009A5B5C"/>
    <w:rsid w:val="009A5BEB"/>
    <w:rsid w:val="009A61ED"/>
    <w:rsid w:val="009A64AB"/>
    <w:rsid w:val="009A6F07"/>
    <w:rsid w:val="009A71EF"/>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45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0B90"/>
    <w:rsid w:val="00A91E24"/>
    <w:rsid w:val="00A942C8"/>
    <w:rsid w:val="00A95299"/>
    <w:rsid w:val="00A956E2"/>
    <w:rsid w:val="00A95AA3"/>
    <w:rsid w:val="00A95CD7"/>
    <w:rsid w:val="00A96108"/>
    <w:rsid w:val="00A96B9E"/>
    <w:rsid w:val="00AA0092"/>
    <w:rsid w:val="00AA0C32"/>
    <w:rsid w:val="00AA0DA2"/>
    <w:rsid w:val="00AA1393"/>
    <w:rsid w:val="00AA22CC"/>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85E"/>
    <w:rsid w:val="00AC3964"/>
    <w:rsid w:val="00AC39B9"/>
    <w:rsid w:val="00AC3B9C"/>
    <w:rsid w:val="00AC3F30"/>
    <w:rsid w:val="00AC47E9"/>
    <w:rsid w:val="00AC4BAB"/>
    <w:rsid w:val="00AC5260"/>
    <w:rsid w:val="00AC7B73"/>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247"/>
    <w:rsid w:val="00AE3971"/>
    <w:rsid w:val="00AE4996"/>
    <w:rsid w:val="00AE4B4B"/>
    <w:rsid w:val="00AE5188"/>
    <w:rsid w:val="00AE58EF"/>
    <w:rsid w:val="00AE6005"/>
    <w:rsid w:val="00AE64FF"/>
    <w:rsid w:val="00AE6EA8"/>
    <w:rsid w:val="00AE7402"/>
    <w:rsid w:val="00AE76AB"/>
    <w:rsid w:val="00AE7DF8"/>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21"/>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73A"/>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3FFD"/>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AB1"/>
    <w:rsid w:val="00B97C02"/>
    <w:rsid w:val="00BA0868"/>
    <w:rsid w:val="00BA08CC"/>
    <w:rsid w:val="00BA0911"/>
    <w:rsid w:val="00BA19F8"/>
    <w:rsid w:val="00BA2020"/>
    <w:rsid w:val="00BA31B7"/>
    <w:rsid w:val="00BA36B4"/>
    <w:rsid w:val="00BA371D"/>
    <w:rsid w:val="00BA3B58"/>
    <w:rsid w:val="00BA3CD4"/>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346"/>
    <w:rsid w:val="00BC083F"/>
    <w:rsid w:val="00BC0B50"/>
    <w:rsid w:val="00BC1B97"/>
    <w:rsid w:val="00BC2616"/>
    <w:rsid w:val="00BC2C17"/>
    <w:rsid w:val="00BC30DF"/>
    <w:rsid w:val="00BC424F"/>
    <w:rsid w:val="00BC45C7"/>
    <w:rsid w:val="00BC4C18"/>
    <w:rsid w:val="00BC52A6"/>
    <w:rsid w:val="00BC6C5B"/>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3B6"/>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6FD"/>
    <w:rsid w:val="00C1084F"/>
    <w:rsid w:val="00C126FF"/>
    <w:rsid w:val="00C13601"/>
    <w:rsid w:val="00C13945"/>
    <w:rsid w:val="00C13A3E"/>
    <w:rsid w:val="00C13CE4"/>
    <w:rsid w:val="00C1437E"/>
    <w:rsid w:val="00C14903"/>
    <w:rsid w:val="00C1725E"/>
    <w:rsid w:val="00C1738F"/>
    <w:rsid w:val="00C176A2"/>
    <w:rsid w:val="00C221C0"/>
    <w:rsid w:val="00C22F2A"/>
    <w:rsid w:val="00C24302"/>
    <w:rsid w:val="00C24977"/>
    <w:rsid w:val="00C24B86"/>
    <w:rsid w:val="00C24BC0"/>
    <w:rsid w:val="00C24BC6"/>
    <w:rsid w:val="00C25374"/>
    <w:rsid w:val="00C2594F"/>
    <w:rsid w:val="00C25EDA"/>
    <w:rsid w:val="00C3029D"/>
    <w:rsid w:val="00C31131"/>
    <w:rsid w:val="00C31256"/>
    <w:rsid w:val="00C31CEE"/>
    <w:rsid w:val="00C31F93"/>
    <w:rsid w:val="00C32FC9"/>
    <w:rsid w:val="00C33A86"/>
    <w:rsid w:val="00C34B64"/>
    <w:rsid w:val="00C357E2"/>
    <w:rsid w:val="00C36158"/>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979"/>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5E0"/>
    <w:rsid w:val="00C95A73"/>
    <w:rsid w:val="00C95CD9"/>
    <w:rsid w:val="00C96EC9"/>
    <w:rsid w:val="00C9748A"/>
    <w:rsid w:val="00C97718"/>
    <w:rsid w:val="00C977AF"/>
    <w:rsid w:val="00C97953"/>
    <w:rsid w:val="00C97979"/>
    <w:rsid w:val="00C97BB3"/>
    <w:rsid w:val="00C97FEE"/>
    <w:rsid w:val="00CA00E1"/>
    <w:rsid w:val="00CA0CD4"/>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201"/>
    <w:rsid w:val="00CB4625"/>
    <w:rsid w:val="00CB4633"/>
    <w:rsid w:val="00CB4BD9"/>
    <w:rsid w:val="00CB556E"/>
    <w:rsid w:val="00CB65EB"/>
    <w:rsid w:val="00CB6B50"/>
    <w:rsid w:val="00CB765C"/>
    <w:rsid w:val="00CB7828"/>
    <w:rsid w:val="00CB7D36"/>
    <w:rsid w:val="00CB7E98"/>
    <w:rsid w:val="00CB7ECC"/>
    <w:rsid w:val="00CB7EF9"/>
    <w:rsid w:val="00CB7FD0"/>
    <w:rsid w:val="00CC0071"/>
    <w:rsid w:val="00CC0CE8"/>
    <w:rsid w:val="00CC131D"/>
    <w:rsid w:val="00CC1C3A"/>
    <w:rsid w:val="00CC1C89"/>
    <w:rsid w:val="00CC2729"/>
    <w:rsid w:val="00CC28A8"/>
    <w:rsid w:val="00CC2925"/>
    <w:rsid w:val="00CC30CD"/>
    <w:rsid w:val="00CC3178"/>
    <w:rsid w:val="00CC45CD"/>
    <w:rsid w:val="00CC5048"/>
    <w:rsid w:val="00CC591C"/>
    <w:rsid w:val="00CC5B13"/>
    <w:rsid w:val="00CC5E61"/>
    <w:rsid w:val="00CC5F1F"/>
    <w:rsid w:val="00CC690C"/>
    <w:rsid w:val="00CC6AEE"/>
    <w:rsid w:val="00CC6F02"/>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5C8C"/>
    <w:rsid w:val="00CE6E38"/>
    <w:rsid w:val="00CE6F0F"/>
    <w:rsid w:val="00CE7FD4"/>
    <w:rsid w:val="00CF0A57"/>
    <w:rsid w:val="00CF0B56"/>
    <w:rsid w:val="00CF1A4A"/>
    <w:rsid w:val="00CF1A60"/>
    <w:rsid w:val="00CF2A98"/>
    <w:rsid w:val="00CF2C0E"/>
    <w:rsid w:val="00CF3086"/>
    <w:rsid w:val="00CF3552"/>
    <w:rsid w:val="00CF4F51"/>
    <w:rsid w:val="00CF5478"/>
    <w:rsid w:val="00CF551A"/>
    <w:rsid w:val="00CF789D"/>
    <w:rsid w:val="00CF7AA1"/>
    <w:rsid w:val="00CF7F00"/>
    <w:rsid w:val="00D00B8F"/>
    <w:rsid w:val="00D015B5"/>
    <w:rsid w:val="00D01D4E"/>
    <w:rsid w:val="00D0272D"/>
    <w:rsid w:val="00D031CB"/>
    <w:rsid w:val="00D031DB"/>
    <w:rsid w:val="00D03253"/>
    <w:rsid w:val="00D03C7D"/>
    <w:rsid w:val="00D060DB"/>
    <w:rsid w:val="00D0772C"/>
    <w:rsid w:val="00D07D20"/>
    <w:rsid w:val="00D1065D"/>
    <w:rsid w:val="00D110D4"/>
    <w:rsid w:val="00D12C91"/>
    <w:rsid w:val="00D13018"/>
    <w:rsid w:val="00D13A3F"/>
    <w:rsid w:val="00D13A6D"/>
    <w:rsid w:val="00D15356"/>
    <w:rsid w:val="00D15D6A"/>
    <w:rsid w:val="00D16AB8"/>
    <w:rsid w:val="00D17381"/>
    <w:rsid w:val="00D177BB"/>
    <w:rsid w:val="00D21E7C"/>
    <w:rsid w:val="00D22332"/>
    <w:rsid w:val="00D2274E"/>
    <w:rsid w:val="00D22AB3"/>
    <w:rsid w:val="00D22B00"/>
    <w:rsid w:val="00D22C85"/>
    <w:rsid w:val="00D22D2E"/>
    <w:rsid w:val="00D24E6B"/>
    <w:rsid w:val="00D2540E"/>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20A"/>
    <w:rsid w:val="00D4243A"/>
    <w:rsid w:val="00D43062"/>
    <w:rsid w:val="00D4330B"/>
    <w:rsid w:val="00D441F5"/>
    <w:rsid w:val="00D447BC"/>
    <w:rsid w:val="00D44DED"/>
    <w:rsid w:val="00D4584C"/>
    <w:rsid w:val="00D46BBF"/>
    <w:rsid w:val="00D46D05"/>
    <w:rsid w:val="00D46EB0"/>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42F"/>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350"/>
    <w:rsid w:val="00DA2F87"/>
    <w:rsid w:val="00DA54EB"/>
    <w:rsid w:val="00DA5574"/>
    <w:rsid w:val="00DA565C"/>
    <w:rsid w:val="00DA5D41"/>
    <w:rsid w:val="00DA5D6D"/>
    <w:rsid w:val="00DA5DAF"/>
    <w:rsid w:val="00DA6396"/>
    <w:rsid w:val="00DA6CD4"/>
    <w:rsid w:val="00DA6D32"/>
    <w:rsid w:val="00DA754D"/>
    <w:rsid w:val="00DA7D58"/>
    <w:rsid w:val="00DB0890"/>
    <w:rsid w:val="00DB188C"/>
    <w:rsid w:val="00DB2074"/>
    <w:rsid w:val="00DB20E9"/>
    <w:rsid w:val="00DB23F3"/>
    <w:rsid w:val="00DB24E9"/>
    <w:rsid w:val="00DB2D3B"/>
    <w:rsid w:val="00DB3509"/>
    <w:rsid w:val="00DB35EA"/>
    <w:rsid w:val="00DB45C4"/>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24D"/>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5DDA"/>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2CB8"/>
    <w:rsid w:val="00E439AA"/>
    <w:rsid w:val="00E43E02"/>
    <w:rsid w:val="00E43E15"/>
    <w:rsid w:val="00E448CE"/>
    <w:rsid w:val="00E453FE"/>
    <w:rsid w:val="00E45F73"/>
    <w:rsid w:val="00E47306"/>
    <w:rsid w:val="00E501F4"/>
    <w:rsid w:val="00E50764"/>
    <w:rsid w:val="00E508AA"/>
    <w:rsid w:val="00E51528"/>
    <w:rsid w:val="00E522AA"/>
    <w:rsid w:val="00E52EDB"/>
    <w:rsid w:val="00E53219"/>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35A"/>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0D84"/>
    <w:rsid w:val="00E84641"/>
    <w:rsid w:val="00E85057"/>
    <w:rsid w:val="00E86A8F"/>
    <w:rsid w:val="00E86C2D"/>
    <w:rsid w:val="00E87492"/>
    <w:rsid w:val="00E87BC7"/>
    <w:rsid w:val="00E87C19"/>
    <w:rsid w:val="00E91B9B"/>
    <w:rsid w:val="00E922F0"/>
    <w:rsid w:val="00E92C3A"/>
    <w:rsid w:val="00E93750"/>
    <w:rsid w:val="00E93903"/>
    <w:rsid w:val="00E93FCD"/>
    <w:rsid w:val="00E9433C"/>
    <w:rsid w:val="00E94C6F"/>
    <w:rsid w:val="00E94D01"/>
    <w:rsid w:val="00E9562C"/>
    <w:rsid w:val="00E95DFD"/>
    <w:rsid w:val="00E96D32"/>
    <w:rsid w:val="00E96D9C"/>
    <w:rsid w:val="00E96E15"/>
    <w:rsid w:val="00E9738C"/>
    <w:rsid w:val="00E97B92"/>
    <w:rsid w:val="00E97EA4"/>
    <w:rsid w:val="00EA1B79"/>
    <w:rsid w:val="00EA22A6"/>
    <w:rsid w:val="00EA260F"/>
    <w:rsid w:val="00EA389C"/>
    <w:rsid w:val="00EA3904"/>
    <w:rsid w:val="00EA398C"/>
    <w:rsid w:val="00EA42DB"/>
    <w:rsid w:val="00EA4B9E"/>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342"/>
    <w:rsid w:val="00EC0D99"/>
    <w:rsid w:val="00EC1B24"/>
    <w:rsid w:val="00EC1DEB"/>
    <w:rsid w:val="00EC253F"/>
    <w:rsid w:val="00EC2B79"/>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114F"/>
    <w:rsid w:val="00EF283F"/>
    <w:rsid w:val="00EF2CC7"/>
    <w:rsid w:val="00EF53A8"/>
    <w:rsid w:val="00EF5C1B"/>
    <w:rsid w:val="00EF5D3E"/>
    <w:rsid w:val="00EF5DD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D3C"/>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2D97"/>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2639"/>
    <w:rsid w:val="00F5364C"/>
    <w:rsid w:val="00F53920"/>
    <w:rsid w:val="00F54B02"/>
    <w:rsid w:val="00F54EE7"/>
    <w:rsid w:val="00F56BFC"/>
    <w:rsid w:val="00F603A9"/>
    <w:rsid w:val="00F63B40"/>
    <w:rsid w:val="00F64F3B"/>
    <w:rsid w:val="00F66353"/>
    <w:rsid w:val="00F6679D"/>
    <w:rsid w:val="00F71AAF"/>
    <w:rsid w:val="00F729E0"/>
    <w:rsid w:val="00F72C80"/>
    <w:rsid w:val="00F737A5"/>
    <w:rsid w:val="00F73D84"/>
    <w:rsid w:val="00F75535"/>
    <w:rsid w:val="00F75F12"/>
    <w:rsid w:val="00F76483"/>
    <w:rsid w:val="00F76A98"/>
    <w:rsid w:val="00F76DB4"/>
    <w:rsid w:val="00F7758C"/>
    <w:rsid w:val="00F7794E"/>
    <w:rsid w:val="00F8000E"/>
    <w:rsid w:val="00F800EE"/>
    <w:rsid w:val="00F80A82"/>
    <w:rsid w:val="00F81A79"/>
    <w:rsid w:val="00F822D2"/>
    <w:rsid w:val="00F83059"/>
    <w:rsid w:val="00F830A0"/>
    <w:rsid w:val="00F83128"/>
    <w:rsid w:val="00F83483"/>
    <w:rsid w:val="00F84535"/>
    <w:rsid w:val="00F84CFB"/>
    <w:rsid w:val="00F85482"/>
    <w:rsid w:val="00F855E7"/>
    <w:rsid w:val="00F85F16"/>
    <w:rsid w:val="00F864C1"/>
    <w:rsid w:val="00F86710"/>
    <w:rsid w:val="00F86B46"/>
    <w:rsid w:val="00F86D7E"/>
    <w:rsid w:val="00F8777C"/>
    <w:rsid w:val="00F901B9"/>
    <w:rsid w:val="00F90914"/>
    <w:rsid w:val="00F90BBD"/>
    <w:rsid w:val="00F90E8B"/>
    <w:rsid w:val="00F91261"/>
    <w:rsid w:val="00F91897"/>
    <w:rsid w:val="00F91B7E"/>
    <w:rsid w:val="00F91EDD"/>
    <w:rsid w:val="00F92089"/>
    <w:rsid w:val="00F926A4"/>
    <w:rsid w:val="00F93DB7"/>
    <w:rsid w:val="00F94C0F"/>
    <w:rsid w:val="00F959DE"/>
    <w:rsid w:val="00FA00A3"/>
    <w:rsid w:val="00FA0239"/>
    <w:rsid w:val="00FA2BD3"/>
    <w:rsid w:val="00FA2CEE"/>
    <w:rsid w:val="00FA4558"/>
    <w:rsid w:val="00FA5CC6"/>
    <w:rsid w:val="00FA60FB"/>
    <w:rsid w:val="00FA6447"/>
    <w:rsid w:val="00FA66BD"/>
    <w:rsid w:val="00FA671A"/>
    <w:rsid w:val="00FA68A4"/>
    <w:rsid w:val="00FA6CF7"/>
    <w:rsid w:val="00FA718F"/>
    <w:rsid w:val="00FA7DE2"/>
    <w:rsid w:val="00FB0B22"/>
    <w:rsid w:val="00FB0B36"/>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973"/>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D85"/>
    <w:rsid w:val="00FE1E5E"/>
    <w:rsid w:val="00FE2884"/>
    <w:rsid w:val="00FE30ED"/>
    <w:rsid w:val="00FE419E"/>
    <w:rsid w:val="00FE4240"/>
    <w:rsid w:val="00FE49FC"/>
    <w:rsid w:val="00FE4DBF"/>
    <w:rsid w:val="00FE6104"/>
    <w:rsid w:val="00FF0044"/>
    <w:rsid w:val="00FF01F9"/>
    <w:rsid w:val="00FF075C"/>
    <w:rsid w:val="00FF0BDA"/>
    <w:rsid w:val="00FF0D4D"/>
    <w:rsid w:val="00FF1032"/>
    <w:rsid w:val="00FF1901"/>
    <w:rsid w:val="00FF20B0"/>
    <w:rsid w:val="00FF3DF2"/>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5D54D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aliases w:val="Überschrift 1 Char"/>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aliases w:val="Überschrift 1 Char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aliases w:val="Überschrift 1 Char"/>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aliases w:val="Überschrift 1 Char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1964921048">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1250</Words>
  <Characters>7876</Characters>
  <Application>Microsoft Macintosh Word</Application>
  <DocSecurity>0</DocSecurity>
  <Lines>65</Lines>
  <Paragraphs>18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cp:revision>
  <cp:lastPrinted>2013-01-31T18:33:00Z</cp:lastPrinted>
  <dcterms:created xsi:type="dcterms:W3CDTF">2013-01-31T18:33:00Z</dcterms:created>
  <dcterms:modified xsi:type="dcterms:W3CDTF">2013-01-31T18:33:00Z</dcterms:modified>
</cp:coreProperties>
</file>