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3D79D4EA" w:rsidR="00E815E9" w:rsidRDefault="00721580" w:rsidP="000D11E1">
      <w:pPr>
        <w:spacing w:after="120" w:line="240" w:lineRule="auto"/>
        <w:rPr>
          <w:rFonts w:asciiTheme="minorHAnsi" w:hAnsiTheme="minorHAnsi"/>
          <w:sz w:val="48"/>
          <w:szCs w:val="48"/>
        </w:rPr>
      </w:pPr>
      <w:r>
        <w:rPr>
          <w:rFonts w:asciiTheme="minorHAnsi" w:hAnsiTheme="minorHAnsi"/>
          <w:sz w:val="48"/>
          <w:szCs w:val="48"/>
        </w:rPr>
        <w:t>In jeder Beziehung Beistehen – Einführung in die e</w:t>
      </w:r>
      <w:r w:rsidR="00E815E9">
        <w:rPr>
          <w:rFonts w:asciiTheme="minorHAnsi" w:hAnsiTheme="minorHAnsi"/>
          <w:sz w:val="48"/>
          <w:szCs w:val="48"/>
        </w:rPr>
        <w:t xml:space="preserve">vangelische Seelsorge (I) </w:t>
      </w:r>
    </w:p>
    <w:p w14:paraId="218A6A6C" w14:textId="77777777" w:rsidR="000D11E1" w:rsidRPr="00CF0B56" w:rsidRDefault="00E815E9" w:rsidP="000D11E1">
      <w:pPr>
        <w:spacing w:after="120" w:line="240" w:lineRule="auto"/>
        <w:rPr>
          <w:rFonts w:asciiTheme="minorHAnsi" w:hAnsiTheme="minorHAnsi"/>
          <w:sz w:val="32"/>
          <w:szCs w:val="48"/>
        </w:rPr>
      </w:pPr>
      <w:r>
        <w:rPr>
          <w:rFonts w:asciiTheme="minorHAnsi" w:hAnsiTheme="minorHAnsi"/>
          <w:sz w:val="32"/>
          <w:szCs w:val="48"/>
        </w:rPr>
        <w:t>Arbeitsblatt 1</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77777777" w:rsidR="00EA61CF" w:rsidRDefault="003E38B9" w:rsidP="000D11E1">
      <w:pPr>
        <w:jc w:val="right"/>
        <w:rPr>
          <w:rFonts w:asciiTheme="minorHAnsi" w:hAnsiTheme="minorHAnsi"/>
          <w:sz w:val="28"/>
          <w:szCs w:val="28"/>
        </w:rPr>
      </w:pPr>
      <w:r>
        <w:rPr>
          <w:rFonts w:asciiTheme="minorHAnsi" w:hAnsiTheme="minorHAnsi"/>
          <w:sz w:val="28"/>
          <w:szCs w:val="28"/>
        </w:rPr>
        <w:t>Prof. Dr. Michael Herbst, 18. Oktober 2013</w:t>
      </w:r>
    </w:p>
    <w:p w14:paraId="6F637987" w14:textId="77777777" w:rsidR="002576E6" w:rsidRPr="005B6187" w:rsidRDefault="002576E6" w:rsidP="000D11E1">
      <w:pPr>
        <w:jc w:val="right"/>
        <w:rPr>
          <w:rFonts w:asciiTheme="minorHAnsi" w:hAnsiTheme="minorHAnsi"/>
          <w:sz w:val="28"/>
          <w:szCs w:val="28"/>
        </w:rPr>
      </w:pPr>
    </w:p>
    <w:p w14:paraId="763ED92E" w14:textId="77777777" w:rsidR="005D5158" w:rsidRDefault="005D5158" w:rsidP="005D5158">
      <w:pPr>
        <w:pStyle w:val="berschrift1"/>
        <w:numPr>
          <w:ilvl w:val="0"/>
          <w:numId w:val="34"/>
        </w:numPr>
        <w:spacing w:line="264" w:lineRule="auto"/>
        <w:rPr>
          <w:lang w:val="en-US"/>
        </w:rPr>
      </w:pPr>
      <w:proofErr w:type="spellStart"/>
      <w:r>
        <w:rPr>
          <w:lang w:val="en-US"/>
        </w:rPr>
        <w:t>Einführung</w:t>
      </w:r>
      <w:proofErr w:type="spellEnd"/>
      <w:r>
        <w:rPr>
          <w:lang w:val="en-US"/>
        </w:rPr>
        <w:t xml:space="preserve"> in die </w:t>
      </w:r>
      <w:proofErr w:type="spellStart"/>
      <w:r>
        <w:rPr>
          <w:lang w:val="en-US"/>
        </w:rPr>
        <w:t>Vorlesung</w:t>
      </w:r>
      <w:proofErr w:type="spellEnd"/>
    </w:p>
    <w:p w14:paraId="641EA681" w14:textId="77777777" w:rsidR="005D5158" w:rsidRPr="00C65293" w:rsidRDefault="005D5158" w:rsidP="005D5158">
      <w:pPr>
        <w:pStyle w:val="berschrift2"/>
        <w:numPr>
          <w:ilvl w:val="1"/>
          <w:numId w:val="34"/>
        </w:numPr>
        <w:spacing w:line="264" w:lineRule="auto"/>
        <w:jc w:val="both"/>
        <w:rPr>
          <w:sz w:val="24"/>
          <w:lang w:val="en-US"/>
        </w:rPr>
      </w:pPr>
      <w:proofErr w:type="spellStart"/>
      <w:r w:rsidRPr="00C65293">
        <w:rPr>
          <w:sz w:val="24"/>
          <w:lang w:val="en-US"/>
        </w:rPr>
        <w:t>Ein</w:t>
      </w:r>
      <w:proofErr w:type="spellEnd"/>
      <w:r w:rsidRPr="00C65293">
        <w:rPr>
          <w:sz w:val="24"/>
          <w:lang w:val="en-US"/>
        </w:rPr>
        <w:t xml:space="preserve"> </w:t>
      </w:r>
      <w:proofErr w:type="spellStart"/>
      <w:r w:rsidRPr="00C65293">
        <w:rPr>
          <w:sz w:val="24"/>
          <w:lang w:val="en-US"/>
        </w:rPr>
        <w:t>Fallbeispiel</w:t>
      </w:r>
      <w:proofErr w:type="spellEnd"/>
    </w:p>
    <w:p w14:paraId="578F25EB" w14:textId="74D225B6" w:rsidR="005D5158" w:rsidRPr="00C65293" w:rsidRDefault="00DF4051" w:rsidP="005D5158">
      <w:pPr>
        <w:pStyle w:val="berschrift2"/>
        <w:numPr>
          <w:ilvl w:val="1"/>
          <w:numId w:val="34"/>
        </w:numPr>
        <w:spacing w:line="264" w:lineRule="auto"/>
        <w:jc w:val="both"/>
        <w:rPr>
          <w:sz w:val="24"/>
        </w:rPr>
      </w:pPr>
      <w:r w:rsidRPr="00C65293">
        <w:rPr>
          <w:sz w:val="24"/>
        </w:rPr>
        <w:t>E</w:t>
      </w:r>
      <w:r w:rsidR="005D5158" w:rsidRPr="00C65293">
        <w:rPr>
          <w:sz w:val="24"/>
        </w:rPr>
        <w:t xml:space="preserve">rste Annäherungen an das Thema: Seelsorge </w:t>
      </w:r>
    </w:p>
    <w:p w14:paraId="31358681" w14:textId="5B17144A" w:rsidR="005D3E1B" w:rsidRDefault="005D5158" w:rsidP="005D5158">
      <w:pPr>
        <w:pStyle w:val="NummerierteListe"/>
        <w:tabs>
          <w:tab w:val="clear" w:pos="360"/>
        </w:tabs>
      </w:pPr>
      <w:r w:rsidRPr="002964F1">
        <w:t>Seelsorge gehört zu den Aufgaben einer Pfarrperson, die von allen Seiten als typisch für diesen Beruf betrachtet werden. Pfarrer können von sich auch als von „Seelsorgern“ sprechen, und immer noch fällt vielen Menschen die Pfarrerin ein, wenn sie in Krisen und Übergängen des Lebens nach einer Gesprächspartnerin suchen.</w:t>
      </w:r>
      <w:r w:rsidRPr="002964F1">
        <w:rPr>
          <w:rStyle w:val="Funotenzeichen"/>
        </w:rPr>
        <w:footnoteReference w:id="1"/>
      </w:r>
      <w:r w:rsidRPr="002964F1">
        <w:t xml:space="preserve"> Viele sehen in der See</w:t>
      </w:r>
      <w:r w:rsidRPr="002964F1">
        <w:t>l</w:t>
      </w:r>
      <w:r w:rsidRPr="002964F1">
        <w:t>sorge einen Dienst, der ganz anders als etwa die Predigt, hohes soziales Ansehen hat, fast schon wie die Diakonie. Sie gehen zwar nicht zum Gottesdienst, schätzen aber ihren Pfarrer oder ihre Pfarrerin als verständnisvolle Gesprächspartner. Befragt, was Sie b</w:t>
      </w:r>
      <w:r w:rsidRPr="002964F1">
        <w:t>e</w:t>
      </w:r>
      <w:r w:rsidRPr="002964F1">
        <w:t>wegt, Mitglied in der Kirche zu sein, sagen 33% der Westdeutschen und 43% der Os</w:t>
      </w:r>
      <w:r w:rsidRPr="002964F1">
        <w:t>t</w:t>
      </w:r>
      <w:r w:rsidRPr="002964F1">
        <w:t>deutschen: „Sie gibt mir Trost und Hilfe in schweren Stunden“.</w:t>
      </w:r>
      <w:r>
        <w:rPr>
          <w:rStyle w:val="Funotenzeichen"/>
        </w:rPr>
        <w:footnoteReference w:id="2"/>
      </w:r>
      <w:r>
        <w:t xml:space="preserve"> </w:t>
      </w:r>
    </w:p>
    <w:p w14:paraId="27BD582B" w14:textId="1E107812" w:rsidR="005D5158" w:rsidRDefault="005D3E1B" w:rsidP="005D5158">
      <w:pPr>
        <w:pStyle w:val="NummerierteListe"/>
        <w:tabs>
          <w:tab w:val="clear" w:pos="360"/>
        </w:tabs>
      </w:pPr>
      <w:r>
        <w:t>Z</w:t>
      </w:r>
      <w:r w:rsidR="005D5158" w:rsidRPr="002964F1">
        <w:t>u den TOP-Aufgaben</w:t>
      </w:r>
      <w:r>
        <w:t xml:space="preserve">, die </w:t>
      </w:r>
      <w:proofErr w:type="spellStart"/>
      <w:r>
        <w:t>die</w:t>
      </w:r>
      <w:proofErr w:type="spellEnd"/>
      <w:r>
        <w:t xml:space="preserve"> Befragten Kirchenmitglieder dem Pfarrer zuweisen, geh</w:t>
      </w:r>
      <w:r>
        <w:t>ö</w:t>
      </w:r>
      <w:r>
        <w:t>ren</w:t>
      </w:r>
      <w:r w:rsidR="005D5158" w:rsidRPr="002964F1">
        <w:t xml:space="preserve"> (neben Predigt und Unterricht) seelsorgliche Tätigkeiten</w:t>
      </w:r>
      <w:r w:rsidR="00005F0F">
        <w:t>.</w:t>
      </w:r>
      <w:r w:rsidR="005D5158" w:rsidRPr="002964F1">
        <w:rPr>
          <w:rStyle w:val="Funotenzeichen"/>
        </w:rPr>
        <w:footnoteReference w:id="3"/>
      </w:r>
      <w:r w:rsidR="005D5158" w:rsidRPr="005D3E1B">
        <w:rPr>
          <w:vertAlign w:val="superscript"/>
        </w:rPr>
        <w:t xml:space="preserve"> </w:t>
      </w:r>
    </w:p>
    <w:p w14:paraId="25EC39DF" w14:textId="06C814AD" w:rsidR="005D5158" w:rsidRDefault="005D5158" w:rsidP="005D5158">
      <w:pPr>
        <w:pStyle w:val="NummerierteListe"/>
        <w:tabs>
          <w:tab w:val="clear" w:pos="360"/>
        </w:tabs>
      </w:pPr>
      <w:r w:rsidRPr="00213EC2">
        <w:t>Das sieht man auch daran, dass Seelsorge in vielfältigsten Formen und an vielf</w:t>
      </w:r>
      <w:r>
        <w:t xml:space="preserve">ältigsten Orten angeboten wird. </w:t>
      </w:r>
    </w:p>
    <w:p w14:paraId="3BC26FED" w14:textId="77777777" w:rsidR="00CA00D6" w:rsidRPr="00CA00D6" w:rsidRDefault="00005F0F" w:rsidP="005D5158">
      <w:pPr>
        <w:pStyle w:val="NummerierteListe"/>
        <w:tabs>
          <w:tab w:val="clear" w:pos="360"/>
        </w:tabs>
      </w:pPr>
      <w:bookmarkStart w:id="0" w:name="OLE_LINK24"/>
      <w:bookmarkStart w:id="1" w:name="OLE_LINK25"/>
      <w:r>
        <w:rPr>
          <w:b/>
        </w:rPr>
        <w:t xml:space="preserve">Seelsorge </w:t>
      </w:r>
      <w:r w:rsidR="005D5158" w:rsidRPr="00005F0F">
        <w:rPr>
          <w:b/>
        </w:rPr>
        <w:t xml:space="preserve">ist das </w:t>
      </w:r>
      <w:r w:rsidR="005D5158" w:rsidRPr="00CA00D6">
        <w:rPr>
          <w:b/>
          <w:u w:val="single"/>
        </w:rPr>
        <w:t>befristete Geleit</w:t>
      </w:r>
      <w:r w:rsidR="005D5158" w:rsidRPr="00005F0F">
        <w:rPr>
          <w:b/>
        </w:rPr>
        <w:t xml:space="preserve"> von Menschen </w:t>
      </w:r>
      <w:r w:rsidR="005D5158" w:rsidRPr="00CA00D6">
        <w:rPr>
          <w:b/>
          <w:u w:val="single"/>
        </w:rPr>
        <w:t>in existenziell bedeutsamen Situati</w:t>
      </w:r>
      <w:r w:rsidR="005D5158" w:rsidRPr="00CA00D6">
        <w:rPr>
          <w:b/>
          <w:u w:val="single"/>
        </w:rPr>
        <w:t>o</w:t>
      </w:r>
      <w:r w:rsidR="005D5158" w:rsidRPr="00CA00D6">
        <w:rPr>
          <w:b/>
          <w:u w:val="single"/>
        </w:rPr>
        <w:t>nen</w:t>
      </w:r>
      <w:r w:rsidR="005D5158" w:rsidRPr="00005F0F">
        <w:rPr>
          <w:b/>
        </w:rPr>
        <w:t xml:space="preserve">, das </w:t>
      </w:r>
      <w:r w:rsidR="005D5158" w:rsidRPr="00CA00D6">
        <w:rPr>
          <w:b/>
          <w:u w:val="single"/>
        </w:rPr>
        <w:t>im Horizont des christlichen Glaubens</w:t>
      </w:r>
      <w:r w:rsidR="005D5158" w:rsidRPr="00005F0F">
        <w:rPr>
          <w:b/>
        </w:rPr>
        <w:t xml:space="preserve"> stattfindet. </w:t>
      </w:r>
      <w:bookmarkEnd w:id="0"/>
      <w:bookmarkEnd w:id="1"/>
    </w:p>
    <w:p w14:paraId="09F8B085" w14:textId="35E87021" w:rsidR="005D5158" w:rsidRDefault="005D5158" w:rsidP="005D5158">
      <w:pPr>
        <w:pStyle w:val="NummerierteListe"/>
        <w:tabs>
          <w:tab w:val="clear" w:pos="360"/>
        </w:tabs>
      </w:pPr>
      <w:r>
        <w:lastRenderedPageBreak/>
        <w:t xml:space="preserve">Seelsorge </w:t>
      </w:r>
      <w:r w:rsidR="00CA00D6">
        <w:t xml:space="preserve">ist </w:t>
      </w:r>
      <w:r>
        <w:t>ähnlich wie andere kirchliche Unternehmungen (z.B. ethische Urteilsbildung oder Predigt) ein ambitioniertes Unterfangen. Wer sie übt, muss das Leben kennen, die Menschen mögen, den Glauben auslegen und kommunizieren können. Das ist a</w:t>
      </w:r>
      <w:r>
        <w:t>n</w:t>
      </w:r>
      <w:r>
        <w:t xml:space="preserve">spruchsvoll. </w:t>
      </w:r>
    </w:p>
    <w:p w14:paraId="762200CB" w14:textId="77777777" w:rsidR="000D640C" w:rsidRDefault="000D640C" w:rsidP="005D5158">
      <w:pPr>
        <w:pStyle w:val="NummerierteListe"/>
        <w:tabs>
          <w:tab w:val="clear" w:pos="360"/>
        </w:tabs>
        <w:rPr>
          <w:lang w:eastAsia="de-DE"/>
        </w:rPr>
      </w:pPr>
      <w:r>
        <w:t xml:space="preserve">Am Beispiel des Themas Gnade: </w:t>
      </w:r>
      <w:r w:rsidR="005D5158">
        <w:t>Der Mensch wird</w:t>
      </w:r>
      <w:r>
        <w:t xml:space="preserve"> nach CA IV </w:t>
      </w:r>
      <w:r w:rsidR="005D5158">
        <w:t xml:space="preserve">aus Gnade gerecht um Christi willen. Damit er das erfasst, muss ihm das Evangelium bezeugt werden (CA V), mit der Hoffnung auf eine bestimmte Resonanz: nämlich Glauben. Im Glauben eignet sich der Mensch an, was ihm im Wort zugesprochen wird. </w:t>
      </w:r>
      <w:r>
        <w:t xml:space="preserve">Das ist das exakte Gegenteil von Religion. </w:t>
      </w:r>
    </w:p>
    <w:p w14:paraId="4732DE7C" w14:textId="003F1543" w:rsidR="00DF5A6E" w:rsidRDefault="000D640C" w:rsidP="000D640C">
      <w:pPr>
        <w:pStyle w:val="NummerierteListe"/>
        <w:numPr>
          <w:ilvl w:val="0"/>
          <w:numId w:val="0"/>
        </w:numPr>
        <w:ind w:left="357"/>
      </w:pPr>
      <w:r>
        <w:t>Im Gleichnis von den beiden verlorenen Söhnen:</w:t>
      </w:r>
      <w:r>
        <w:rPr>
          <w:rStyle w:val="Funotenzeichen"/>
        </w:rPr>
        <w:footnoteReference w:id="4"/>
      </w:r>
      <w:r>
        <w:t xml:space="preserve"> B</w:t>
      </w:r>
      <w:r w:rsidR="005D5158">
        <w:t>eide Söhne leben nicht aus der Gn</w:t>
      </w:r>
      <w:r w:rsidR="005D5158">
        <w:t>a</w:t>
      </w:r>
      <w:r w:rsidR="005D5158">
        <w:t xml:space="preserve">de. Der eine flieht vor Gott in maßlose Ungebundenheit, er vagabundiert weg von Gott und fährt sein Leben vor die Wand. </w:t>
      </w:r>
      <w:r>
        <w:t xml:space="preserve">Beide sind dem Vater entfremdet. </w:t>
      </w:r>
      <w:r w:rsidR="005D5158">
        <w:t xml:space="preserve">In der Seelsorge begegnen uns jüngere und ältere Söhne und Töchter, die nicht aus der Gnade leben. </w:t>
      </w:r>
    </w:p>
    <w:p w14:paraId="3E556412" w14:textId="288859A4" w:rsidR="000D640C" w:rsidRDefault="00DF5A6E" w:rsidP="000D640C">
      <w:pPr>
        <w:pStyle w:val="NummerierteListe"/>
        <w:numPr>
          <w:ilvl w:val="0"/>
          <w:numId w:val="0"/>
        </w:numPr>
        <w:ind w:left="357"/>
      </w:pPr>
      <w:r>
        <w:t xml:space="preserve">In seelsorglichen Begegnungen gilt es zu fragen, </w:t>
      </w:r>
      <w:r w:rsidR="005D5158">
        <w:t xml:space="preserve">inwiefern </w:t>
      </w:r>
      <w:r>
        <w:t xml:space="preserve">der </w:t>
      </w:r>
      <w:r w:rsidR="005D5158">
        <w:t xml:space="preserve">Zuspruch von Gnade und </w:t>
      </w:r>
      <w:r>
        <w:t xml:space="preserve">das </w:t>
      </w:r>
      <w:r w:rsidR="005D5158">
        <w:t>Zutrauen zur Gnade auch etwas verändern an den existenziellen Lebenslagen, in d</w:t>
      </w:r>
      <w:r w:rsidR="005D5158">
        <w:t>e</w:t>
      </w:r>
      <w:r w:rsidR="005D5158">
        <w:t xml:space="preserve">nen Menschen Seelsorge suchen. </w:t>
      </w:r>
      <w:bookmarkStart w:id="2" w:name="OLE_LINK26"/>
      <w:bookmarkStart w:id="3" w:name="OLE_LINK27"/>
    </w:p>
    <w:p w14:paraId="2498A307" w14:textId="7F6DFDCC" w:rsidR="005D5158" w:rsidRPr="00DF5A6E" w:rsidRDefault="005D5158" w:rsidP="000F4905">
      <w:pPr>
        <w:pStyle w:val="NummerierteListe"/>
        <w:numPr>
          <w:ilvl w:val="0"/>
          <w:numId w:val="0"/>
        </w:numPr>
        <w:ind w:left="709"/>
        <w:rPr>
          <w:i/>
          <w:lang w:eastAsia="de-DE"/>
        </w:rPr>
      </w:pPr>
      <w:r w:rsidRPr="00DF5A6E">
        <w:rPr>
          <w:i/>
        </w:rPr>
        <w:t xml:space="preserve">„The Christian </w:t>
      </w:r>
      <w:proofErr w:type="spellStart"/>
      <w:r w:rsidRPr="00DF5A6E">
        <w:rPr>
          <w:i/>
        </w:rPr>
        <w:t>story</w:t>
      </w:r>
      <w:proofErr w:type="spellEnd"/>
      <w:r w:rsidRPr="00DF5A6E">
        <w:rPr>
          <w:i/>
        </w:rPr>
        <w:t xml:space="preserve"> </w:t>
      </w:r>
      <w:proofErr w:type="spellStart"/>
      <w:r w:rsidRPr="00DF5A6E">
        <w:rPr>
          <w:i/>
        </w:rPr>
        <w:t>provides</w:t>
      </w:r>
      <w:proofErr w:type="spellEnd"/>
      <w:r w:rsidRPr="00DF5A6E">
        <w:rPr>
          <w:i/>
        </w:rPr>
        <w:t xml:space="preserve"> </w:t>
      </w:r>
      <w:proofErr w:type="spellStart"/>
      <w:r w:rsidRPr="00DF5A6E">
        <w:rPr>
          <w:i/>
        </w:rPr>
        <w:t>us</w:t>
      </w:r>
      <w:proofErr w:type="spellEnd"/>
      <w:r w:rsidRPr="00DF5A6E">
        <w:rPr>
          <w:i/>
        </w:rPr>
        <w:t xml:space="preserve"> </w:t>
      </w:r>
      <w:proofErr w:type="spellStart"/>
      <w:r w:rsidRPr="00DF5A6E">
        <w:rPr>
          <w:i/>
        </w:rPr>
        <w:t>with</w:t>
      </w:r>
      <w:proofErr w:type="spellEnd"/>
      <w:r w:rsidRPr="00DF5A6E">
        <w:rPr>
          <w:i/>
        </w:rPr>
        <w:t xml:space="preserve"> such a </w:t>
      </w:r>
      <w:proofErr w:type="spellStart"/>
      <w:r w:rsidRPr="00DF5A6E">
        <w:rPr>
          <w:i/>
        </w:rPr>
        <w:t>set</w:t>
      </w:r>
      <w:proofErr w:type="spellEnd"/>
      <w:r w:rsidRPr="00DF5A6E">
        <w:rPr>
          <w:i/>
        </w:rPr>
        <w:t xml:space="preserve"> </w:t>
      </w:r>
      <w:proofErr w:type="spellStart"/>
      <w:r w:rsidRPr="00DF5A6E">
        <w:rPr>
          <w:i/>
        </w:rPr>
        <w:t>of</w:t>
      </w:r>
      <w:proofErr w:type="spellEnd"/>
      <w:r w:rsidRPr="00DF5A6E">
        <w:rPr>
          <w:i/>
        </w:rPr>
        <w:t xml:space="preserve"> </w:t>
      </w:r>
      <w:proofErr w:type="spellStart"/>
      <w:r w:rsidRPr="00DF5A6E">
        <w:rPr>
          <w:i/>
        </w:rPr>
        <w:t>lenses</w:t>
      </w:r>
      <w:proofErr w:type="spellEnd"/>
      <w:r w:rsidRPr="00DF5A6E">
        <w:rPr>
          <w:i/>
        </w:rPr>
        <w:t xml:space="preserve">, not </w:t>
      </w:r>
      <w:proofErr w:type="spellStart"/>
      <w:r w:rsidRPr="00DF5A6E">
        <w:rPr>
          <w:i/>
        </w:rPr>
        <w:t>something</w:t>
      </w:r>
      <w:proofErr w:type="spellEnd"/>
      <w:r w:rsidRPr="00DF5A6E">
        <w:rPr>
          <w:i/>
        </w:rPr>
        <w:t xml:space="preserve"> </w:t>
      </w:r>
      <w:proofErr w:type="spellStart"/>
      <w:r w:rsidRPr="00DF5A6E">
        <w:rPr>
          <w:i/>
        </w:rPr>
        <w:t>for</w:t>
      </w:r>
      <w:proofErr w:type="spellEnd"/>
      <w:r w:rsidRPr="00DF5A6E">
        <w:rPr>
          <w:i/>
        </w:rPr>
        <w:t xml:space="preserve"> </w:t>
      </w:r>
      <w:proofErr w:type="spellStart"/>
      <w:r w:rsidRPr="00DF5A6E">
        <w:rPr>
          <w:i/>
        </w:rPr>
        <w:t>us</w:t>
      </w:r>
      <w:proofErr w:type="spellEnd"/>
      <w:r w:rsidRPr="00DF5A6E">
        <w:rPr>
          <w:i/>
        </w:rPr>
        <w:t xml:space="preserve"> </w:t>
      </w:r>
      <w:proofErr w:type="spellStart"/>
      <w:r w:rsidRPr="00DF5A6E">
        <w:rPr>
          <w:i/>
        </w:rPr>
        <w:t>to</w:t>
      </w:r>
      <w:proofErr w:type="spellEnd"/>
      <w:r w:rsidRPr="00DF5A6E">
        <w:rPr>
          <w:i/>
        </w:rPr>
        <w:t xml:space="preserve"> </w:t>
      </w:r>
      <w:proofErr w:type="spellStart"/>
      <w:r w:rsidRPr="00DF5A6E">
        <w:rPr>
          <w:i/>
        </w:rPr>
        <w:t>look</w:t>
      </w:r>
      <w:proofErr w:type="spellEnd"/>
      <w:r w:rsidRPr="00DF5A6E">
        <w:rPr>
          <w:i/>
        </w:rPr>
        <w:t xml:space="preserve"> </w:t>
      </w:r>
      <w:proofErr w:type="spellStart"/>
      <w:r w:rsidRPr="00DF5A6E">
        <w:rPr>
          <w:i/>
        </w:rPr>
        <w:t>at</w:t>
      </w:r>
      <w:proofErr w:type="spellEnd"/>
      <w:r w:rsidRPr="00DF5A6E">
        <w:rPr>
          <w:i/>
        </w:rPr>
        <w:t xml:space="preserve">, but </w:t>
      </w:r>
      <w:proofErr w:type="spellStart"/>
      <w:r w:rsidRPr="00DF5A6E">
        <w:rPr>
          <w:i/>
        </w:rPr>
        <w:t>for</w:t>
      </w:r>
      <w:proofErr w:type="spellEnd"/>
      <w:r w:rsidRPr="00DF5A6E">
        <w:rPr>
          <w:i/>
        </w:rPr>
        <w:t xml:space="preserve"> </w:t>
      </w:r>
      <w:proofErr w:type="spellStart"/>
      <w:r w:rsidRPr="00DF5A6E">
        <w:rPr>
          <w:i/>
        </w:rPr>
        <w:t>us</w:t>
      </w:r>
      <w:proofErr w:type="spellEnd"/>
      <w:r w:rsidRPr="00DF5A6E">
        <w:rPr>
          <w:i/>
        </w:rPr>
        <w:t xml:space="preserve"> </w:t>
      </w:r>
      <w:proofErr w:type="spellStart"/>
      <w:r w:rsidRPr="00DF5A6E">
        <w:rPr>
          <w:i/>
        </w:rPr>
        <w:t>to</w:t>
      </w:r>
      <w:proofErr w:type="spellEnd"/>
      <w:r w:rsidRPr="00DF5A6E">
        <w:rPr>
          <w:i/>
        </w:rPr>
        <w:t xml:space="preserve"> </w:t>
      </w:r>
      <w:proofErr w:type="spellStart"/>
      <w:r w:rsidRPr="00DF5A6E">
        <w:rPr>
          <w:i/>
        </w:rPr>
        <w:t>look</w:t>
      </w:r>
      <w:proofErr w:type="spellEnd"/>
      <w:r w:rsidRPr="00DF5A6E">
        <w:rPr>
          <w:i/>
        </w:rPr>
        <w:t xml:space="preserve"> </w:t>
      </w:r>
      <w:proofErr w:type="spellStart"/>
      <w:r w:rsidRPr="00DF5A6E">
        <w:rPr>
          <w:i/>
        </w:rPr>
        <w:t>through</w:t>
      </w:r>
      <w:proofErr w:type="spellEnd"/>
      <w:r w:rsidRPr="00DF5A6E">
        <w:rPr>
          <w:i/>
        </w:rPr>
        <w:t xml:space="preserve">.“ </w:t>
      </w:r>
      <w:bookmarkEnd w:id="2"/>
      <w:bookmarkEnd w:id="3"/>
      <w:r w:rsidR="000D640C" w:rsidRPr="00DF5A6E">
        <w:rPr>
          <w:i/>
        </w:rPr>
        <w:t xml:space="preserve">(L. </w:t>
      </w:r>
      <w:proofErr w:type="spellStart"/>
      <w:r w:rsidR="000D640C" w:rsidRPr="00DF5A6E">
        <w:rPr>
          <w:i/>
        </w:rPr>
        <w:t>Newbigin</w:t>
      </w:r>
      <w:proofErr w:type="spellEnd"/>
      <w:r w:rsidRPr="00DF5A6E">
        <w:rPr>
          <w:rStyle w:val="Funotenzeichen"/>
          <w:i/>
        </w:rPr>
        <w:footnoteReference w:id="5"/>
      </w:r>
      <w:r w:rsidR="000D640C" w:rsidRPr="00DF5A6E">
        <w:rPr>
          <w:i/>
        </w:rPr>
        <w:t>)</w:t>
      </w:r>
    </w:p>
    <w:p w14:paraId="695E0A7F" w14:textId="77777777" w:rsidR="006D7579" w:rsidRDefault="006D7579" w:rsidP="006D7579">
      <w:pPr>
        <w:pStyle w:val="NummerierteListe"/>
        <w:rPr>
          <w:lang w:eastAsia="de-DE"/>
        </w:rPr>
      </w:pPr>
      <w:r>
        <w:t xml:space="preserve">Am Beispiel </w:t>
      </w:r>
      <w:r w:rsidR="005D5158">
        <w:t>Uli Hoeneß</w:t>
      </w:r>
      <w:r>
        <w:t>.</w:t>
      </w:r>
      <w:r w:rsidR="005D5158">
        <w:rPr>
          <w:rStyle w:val="Funotenzeichen"/>
          <w:lang w:eastAsia="de-DE"/>
        </w:rPr>
        <w:footnoteReference w:id="6"/>
      </w:r>
      <w:r w:rsidR="005D5158">
        <w:rPr>
          <w:lang w:eastAsia="de-DE"/>
        </w:rPr>
        <w:t xml:space="preserve"> Was wäre, wenn Sie jetzt Pfarrer am Tegernsee wären und e</w:t>
      </w:r>
      <w:r w:rsidR="005D5158">
        <w:rPr>
          <w:lang w:eastAsia="de-DE"/>
        </w:rPr>
        <w:t>i</w:t>
      </w:r>
      <w:r w:rsidR="005D5158">
        <w:rPr>
          <w:lang w:eastAsia="de-DE"/>
        </w:rPr>
        <w:t xml:space="preserve">nen Hausbesuch machten, das Gespräch über Gnade? Das seelsorgliche Thema hinter der Frage nach Sucht und Schuld wird das Thema Scham und Selbstbild. </w:t>
      </w:r>
    </w:p>
    <w:p w14:paraId="0EB30CAD" w14:textId="6033DEBF" w:rsidR="005D5158" w:rsidRPr="006D7579" w:rsidRDefault="005D5158" w:rsidP="000F4905">
      <w:pPr>
        <w:pStyle w:val="NummerierteListe"/>
        <w:numPr>
          <w:ilvl w:val="0"/>
          <w:numId w:val="0"/>
        </w:numPr>
        <w:ind w:left="709"/>
        <w:rPr>
          <w:i/>
        </w:rPr>
      </w:pPr>
      <w:bookmarkStart w:id="4" w:name="OLE_LINK30"/>
      <w:bookmarkStart w:id="5" w:name="OLE_LINK31"/>
      <w:r w:rsidRPr="006D7579">
        <w:rPr>
          <w:i/>
          <w:lang w:eastAsia="de-DE"/>
        </w:rPr>
        <w:t>„</w:t>
      </w:r>
      <w:proofErr w:type="spellStart"/>
      <w:r w:rsidRPr="006D7579">
        <w:rPr>
          <w:i/>
          <w:lang w:eastAsia="de-DE"/>
        </w:rPr>
        <w:t>Without</w:t>
      </w:r>
      <w:proofErr w:type="spellEnd"/>
      <w:r w:rsidRPr="006D7579">
        <w:rPr>
          <w:i/>
          <w:lang w:eastAsia="de-DE"/>
        </w:rPr>
        <w:t xml:space="preserve"> </w:t>
      </w:r>
      <w:proofErr w:type="spellStart"/>
      <w:r w:rsidRPr="006D7579">
        <w:rPr>
          <w:i/>
          <w:lang w:eastAsia="de-DE"/>
        </w:rPr>
        <w:t>the</w:t>
      </w:r>
      <w:proofErr w:type="spellEnd"/>
      <w:r w:rsidRPr="006D7579">
        <w:rPr>
          <w:i/>
          <w:lang w:eastAsia="de-DE"/>
        </w:rPr>
        <w:t xml:space="preserve"> </w:t>
      </w:r>
      <w:proofErr w:type="spellStart"/>
      <w:r w:rsidRPr="006D7579">
        <w:rPr>
          <w:i/>
          <w:lang w:eastAsia="de-DE"/>
        </w:rPr>
        <w:t>gospel</w:t>
      </w:r>
      <w:proofErr w:type="spellEnd"/>
      <w:r w:rsidRPr="006D7579">
        <w:rPr>
          <w:i/>
          <w:lang w:eastAsia="de-DE"/>
        </w:rPr>
        <w:t xml:space="preserve">, </w:t>
      </w:r>
      <w:proofErr w:type="spellStart"/>
      <w:r w:rsidRPr="006D7579">
        <w:rPr>
          <w:i/>
          <w:lang w:eastAsia="de-DE"/>
        </w:rPr>
        <w:t>our</w:t>
      </w:r>
      <w:proofErr w:type="spellEnd"/>
      <w:r w:rsidRPr="006D7579">
        <w:rPr>
          <w:i/>
          <w:lang w:eastAsia="de-DE"/>
        </w:rPr>
        <w:t xml:space="preserve"> </w:t>
      </w:r>
      <w:proofErr w:type="spellStart"/>
      <w:r w:rsidRPr="006D7579">
        <w:rPr>
          <w:i/>
          <w:lang w:eastAsia="de-DE"/>
        </w:rPr>
        <w:t>self</w:t>
      </w:r>
      <w:proofErr w:type="spellEnd"/>
      <w:r w:rsidRPr="006D7579">
        <w:rPr>
          <w:i/>
          <w:lang w:eastAsia="de-DE"/>
        </w:rPr>
        <w:t xml:space="preserve">-image </w:t>
      </w:r>
      <w:proofErr w:type="spellStart"/>
      <w:r w:rsidRPr="006D7579">
        <w:rPr>
          <w:i/>
          <w:lang w:eastAsia="de-DE"/>
        </w:rPr>
        <w:t>is</w:t>
      </w:r>
      <w:proofErr w:type="spellEnd"/>
      <w:r w:rsidRPr="006D7579">
        <w:rPr>
          <w:i/>
          <w:lang w:eastAsia="de-DE"/>
        </w:rPr>
        <w:t xml:space="preserve"> </w:t>
      </w:r>
      <w:proofErr w:type="spellStart"/>
      <w:r w:rsidRPr="006D7579">
        <w:rPr>
          <w:i/>
          <w:lang w:eastAsia="de-DE"/>
        </w:rPr>
        <w:t>based</w:t>
      </w:r>
      <w:proofErr w:type="spellEnd"/>
      <w:r w:rsidRPr="006D7579">
        <w:rPr>
          <w:i/>
          <w:lang w:eastAsia="de-DE"/>
        </w:rPr>
        <w:t xml:space="preserve"> on </w:t>
      </w:r>
      <w:proofErr w:type="spellStart"/>
      <w:r w:rsidRPr="006D7579">
        <w:rPr>
          <w:i/>
          <w:lang w:eastAsia="de-DE"/>
        </w:rPr>
        <w:t>living</w:t>
      </w:r>
      <w:proofErr w:type="spellEnd"/>
      <w:r w:rsidRPr="006D7579">
        <w:rPr>
          <w:i/>
          <w:lang w:eastAsia="de-DE"/>
        </w:rPr>
        <w:t xml:space="preserve"> </w:t>
      </w:r>
      <w:proofErr w:type="spellStart"/>
      <w:r w:rsidRPr="006D7579">
        <w:rPr>
          <w:i/>
          <w:lang w:eastAsia="de-DE"/>
        </w:rPr>
        <w:t>up</w:t>
      </w:r>
      <w:proofErr w:type="spellEnd"/>
      <w:r w:rsidRPr="006D7579">
        <w:rPr>
          <w:i/>
          <w:lang w:eastAsia="de-DE"/>
        </w:rPr>
        <w:t xml:space="preserve"> </w:t>
      </w:r>
      <w:proofErr w:type="spellStart"/>
      <w:r w:rsidRPr="006D7579">
        <w:rPr>
          <w:i/>
          <w:lang w:eastAsia="de-DE"/>
        </w:rPr>
        <w:t>to</w:t>
      </w:r>
      <w:proofErr w:type="spellEnd"/>
      <w:r w:rsidRPr="006D7579">
        <w:rPr>
          <w:i/>
          <w:lang w:eastAsia="de-DE"/>
        </w:rPr>
        <w:t xml:space="preserve"> </w:t>
      </w:r>
      <w:proofErr w:type="spellStart"/>
      <w:r w:rsidRPr="006D7579">
        <w:rPr>
          <w:i/>
          <w:lang w:eastAsia="de-DE"/>
        </w:rPr>
        <w:t>some</w:t>
      </w:r>
      <w:proofErr w:type="spellEnd"/>
      <w:r w:rsidRPr="006D7579">
        <w:rPr>
          <w:i/>
          <w:lang w:eastAsia="de-DE"/>
        </w:rPr>
        <w:t xml:space="preserve"> </w:t>
      </w:r>
      <w:proofErr w:type="spellStart"/>
      <w:r w:rsidRPr="006D7579">
        <w:rPr>
          <w:i/>
          <w:lang w:eastAsia="de-DE"/>
        </w:rPr>
        <w:t>standards</w:t>
      </w:r>
      <w:proofErr w:type="spellEnd"/>
      <w:r w:rsidRPr="006D7579">
        <w:rPr>
          <w:i/>
          <w:lang w:eastAsia="de-DE"/>
        </w:rPr>
        <w:t xml:space="preserve"> … </w:t>
      </w:r>
      <w:proofErr w:type="spellStart"/>
      <w:r w:rsidRPr="006D7579">
        <w:rPr>
          <w:i/>
          <w:lang w:eastAsia="de-DE"/>
        </w:rPr>
        <w:t>If</w:t>
      </w:r>
      <w:proofErr w:type="spellEnd"/>
      <w:r w:rsidRPr="006D7579">
        <w:rPr>
          <w:i/>
          <w:lang w:eastAsia="de-DE"/>
        </w:rPr>
        <w:t xml:space="preserve"> </w:t>
      </w:r>
      <w:proofErr w:type="spellStart"/>
      <w:r w:rsidRPr="006D7579">
        <w:rPr>
          <w:i/>
          <w:lang w:eastAsia="de-DE"/>
        </w:rPr>
        <w:t>we</w:t>
      </w:r>
      <w:proofErr w:type="spellEnd"/>
      <w:r w:rsidRPr="006D7579">
        <w:rPr>
          <w:i/>
          <w:lang w:eastAsia="de-DE"/>
        </w:rPr>
        <w:t xml:space="preserve"> l</w:t>
      </w:r>
      <w:r w:rsidRPr="006D7579">
        <w:rPr>
          <w:i/>
          <w:lang w:eastAsia="de-DE"/>
        </w:rPr>
        <w:t>i</w:t>
      </w:r>
      <w:r w:rsidRPr="006D7579">
        <w:rPr>
          <w:i/>
          <w:lang w:eastAsia="de-DE"/>
        </w:rPr>
        <w:t xml:space="preserve">ve </w:t>
      </w:r>
      <w:proofErr w:type="spellStart"/>
      <w:r w:rsidRPr="006D7579">
        <w:rPr>
          <w:i/>
          <w:lang w:eastAsia="de-DE"/>
        </w:rPr>
        <w:t>up</w:t>
      </w:r>
      <w:proofErr w:type="spellEnd"/>
      <w:r w:rsidRPr="006D7579">
        <w:rPr>
          <w:i/>
          <w:lang w:eastAsia="de-DE"/>
        </w:rPr>
        <w:t xml:space="preserve"> </w:t>
      </w:r>
      <w:proofErr w:type="spellStart"/>
      <w:r w:rsidRPr="006D7579">
        <w:rPr>
          <w:i/>
          <w:lang w:eastAsia="de-DE"/>
        </w:rPr>
        <w:t>to</w:t>
      </w:r>
      <w:proofErr w:type="spellEnd"/>
      <w:r w:rsidRPr="006D7579">
        <w:rPr>
          <w:i/>
          <w:lang w:eastAsia="de-DE"/>
        </w:rPr>
        <w:t xml:space="preserve"> </w:t>
      </w:r>
      <w:proofErr w:type="spellStart"/>
      <w:r w:rsidRPr="006D7579">
        <w:rPr>
          <w:i/>
          <w:lang w:eastAsia="de-DE"/>
        </w:rPr>
        <w:t>those</w:t>
      </w:r>
      <w:proofErr w:type="spellEnd"/>
      <w:r w:rsidRPr="006D7579">
        <w:rPr>
          <w:i/>
          <w:lang w:eastAsia="de-DE"/>
        </w:rPr>
        <w:t xml:space="preserve"> </w:t>
      </w:r>
      <w:proofErr w:type="spellStart"/>
      <w:r w:rsidRPr="006D7579">
        <w:rPr>
          <w:i/>
          <w:lang w:eastAsia="de-DE"/>
        </w:rPr>
        <w:t>standards</w:t>
      </w:r>
      <w:proofErr w:type="spellEnd"/>
      <w:r w:rsidRPr="006D7579">
        <w:rPr>
          <w:i/>
          <w:lang w:eastAsia="de-DE"/>
        </w:rPr>
        <w:t xml:space="preserve">, </w:t>
      </w:r>
      <w:proofErr w:type="spellStart"/>
      <w:r w:rsidRPr="006D7579">
        <w:rPr>
          <w:i/>
          <w:lang w:eastAsia="de-DE"/>
        </w:rPr>
        <w:t>we</w:t>
      </w:r>
      <w:proofErr w:type="spellEnd"/>
      <w:r w:rsidRPr="006D7579">
        <w:rPr>
          <w:i/>
          <w:lang w:eastAsia="de-DE"/>
        </w:rPr>
        <w:t xml:space="preserve"> will </w:t>
      </w:r>
      <w:proofErr w:type="spellStart"/>
      <w:r w:rsidRPr="006D7579">
        <w:rPr>
          <w:i/>
          <w:lang w:eastAsia="de-DE"/>
        </w:rPr>
        <w:t>be</w:t>
      </w:r>
      <w:proofErr w:type="spellEnd"/>
      <w:r w:rsidRPr="006D7579">
        <w:rPr>
          <w:i/>
          <w:lang w:eastAsia="de-DE"/>
        </w:rPr>
        <w:t xml:space="preserve"> </w:t>
      </w:r>
      <w:proofErr w:type="spellStart"/>
      <w:r w:rsidRPr="006D7579">
        <w:rPr>
          <w:i/>
          <w:lang w:eastAsia="de-DE"/>
        </w:rPr>
        <w:t>confident</w:t>
      </w:r>
      <w:proofErr w:type="spellEnd"/>
      <w:r w:rsidRPr="006D7579">
        <w:rPr>
          <w:i/>
          <w:lang w:eastAsia="de-DE"/>
        </w:rPr>
        <w:t xml:space="preserve"> but not </w:t>
      </w:r>
      <w:proofErr w:type="spellStart"/>
      <w:r w:rsidRPr="006D7579">
        <w:rPr>
          <w:i/>
          <w:lang w:eastAsia="de-DE"/>
        </w:rPr>
        <w:t>humble</w:t>
      </w:r>
      <w:proofErr w:type="spellEnd"/>
      <w:r w:rsidRPr="006D7579">
        <w:rPr>
          <w:i/>
          <w:lang w:eastAsia="de-DE"/>
        </w:rPr>
        <w:t xml:space="preserve">; </w:t>
      </w:r>
      <w:proofErr w:type="spellStart"/>
      <w:r w:rsidRPr="006D7579">
        <w:rPr>
          <w:i/>
          <w:lang w:eastAsia="de-DE"/>
        </w:rPr>
        <w:t>if</w:t>
      </w:r>
      <w:proofErr w:type="spellEnd"/>
      <w:r w:rsidRPr="006D7579">
        <w:rPr>
          <w:i/>
          <w:lang w:eastAsia="de-DE"/>
        </w:rPr>
        <w:t xml:space="preserve"> </w:t>
      </w:r>
      <w:proofErr w:type="spellStart"/>
      <w:r w:rsidRPr="006D7579">
        <w:rPr>
          <w:i/>
          <w:lang w:eastAsia="de-DE"/>
        </w:rPr>
        <w:t>we</w:t>
      </w:r>
      <w:proofErr w:type="spellEnd"/>
      <w:r w:rsidRPr="006D7579">
        <w:rPr>
          <w:i/>
          <w:lang w:eastAsia="de-DE"/>
        </w:rPr>
        <w:t xml:space="preserve"> </w:t>
      </w:r>
      <w:proofErr w:type="spellStart"/>
      <w:r w:rsidRPr="006D7579">
        <w:rPr>
          <w:i/>
          <w:lang w:eastAsia="de-DE"/>
        </w:rPr>
        <w:t>don’t</w:t>
      </w:r>
      <w:proofErr w:type="spellEnd"/>
      <w:r w:rsidRPr="006D7579">
        <w:rPr>
          <w:i/>
          <w:lang w:eastAsia="de-DE"/>
        </w:rPr>
        <w:t xml:space="preserve"> live </w:t>
      </w:r>
      <w:proofErr w:type="spellStart"/>
      <w:r w:rsidRPr="006D7579">
        <w:rPr>
          <w:i/>
          <w:lang w:eastAsia="de-DE"/>
        </w:rPr>
        <w:t>up</w:t>
      </w:r>
      <w:proofErr w:type="spellEnd"/>
      <w:r w:rsidRPr="006D7579">
        <w:rPr>
          <w:i/>
          <w:lang w:eastAsia="de-DE"/>
        </w:rPr>
        <w:t xml:space="preserve"> </w:t>
      </w:r>
      <w:proofErr w:type="spellStart"/>
      <w:r w:rsidRPr="006D7579">
        <w:rPr>
          <w:i/>
          <w:lang w:eastAsia="de-DE"/>
        </w:rPr>
        <w:t>to</w:t>
      </w:r>
      <w:proofErr w:type="spellEnd"/>
      <w:r w:rsidRPr="006D7579">
        <w:rPr>
          <w:i/>
          <w:lang w:eastAsia="de-DE"/>
        </w:rPr>
        <w:t xml:space="preserve"> </w:t>
      </w:r>
      <w:proofErr w:type="spellStart"/>
      <w:r w:rsidRPr="006D7579">
        <w:rPr>
          <w:i/>
          <w:lang w:eastAsia="de-DE"/>
        </w:rPr>
        <w:t>them</w:t>
      </w:r>
      <w:proofErr w:type="spellEnd"/>
      <w:r w:rsidRPr="006D7579">
        <w:rPr>
          <w:i/>
          <w:lang w:eastAsia="de-DE"/>
        </w:rPr>
        <w:t xml:space="preserve">, </w:t>
      </w:r>
      <w:proofErr w:type="spellStart"/>
      <w:r w:rsidRPr="006D7579">
        <w:rPr>
          <w:i/>
          <w:lang w:eastAsia="de-DE"/>
        </w:rPr>
        <w:t>we</w:t>
      </w:r>
      <w:proofErr w:type="spellEnd"/>
      <w:r w:rsidRPr="006D7579">
        <w:rPr>
          <w:i/>
          <w:lang w:eastAsia="de-DE"/>
        </w:rPr>
        <w:t xml:space="preserve"> will </w:t>
      </w:r>
      <w:proofErr w:type="spellStart"/>
      <w:r w:rsidRPr="006D7579">
        <w:rPr>
          <w:i/>
          <w:lang w:eastAsia="de-DE"/>
        </w:rPr>
        <w:t>be</w:t>
      </w:r>
      <w:proofErr w:type="spellEnd"/>
      <w:r w:rsidRPr="006D7579">
        <w:rPr>
          <w:i/>
          <w:lang w:eastAsia="de-DE"/>
        </w:rPr>
        <w:t xml:space="preserve"> </w:t>
      </w:r>
      <w:proofErr w:type="spellStart"/>
      <w:r w:rsidRPr="006D7579">
        <w:rPr>
          <w:i/>
          <w:lang w:eastAsia="de-DE"/>
        </w:rPr>
        <w:t>humble</w:t>
      </w:r>
      <w:proofErr w:type="spellEnd"/>
      <w:r w:rsidRPr="006D7579">
        <w:rPr>
          <w:i/>
          <w:lang w:eastAsia="de-DE"/>
        </w:rPr>
        <w:t xml:space="preserve"> but not </w:t>
      </w:r>
      <w:proofErr w:type="spellStart"/>
      <w:r w:rsidRPr="006D7579">
        <w:rPr>
          <w:i/>
          <w:lang w:eastAsia="de-DE"/>
        </w:rPr>
        <w:t>confident</w:t>
      </w:r>
      <w:proofErr w:type="spellEnd"/>
      <w:r w:rsidRPr="006D7579">
        <w:rPr>
          <w:i/>
          <w:lang w:eastAsia="de-DE"/>
        </w:rPr>
        <w:t xml:space="preserve">. </w:t>
      </w:r>
      <w:proofErr w:type="spellStart"/>
      <w:r w:rsidRPr="006D7579">
        <w:rPr>
          <w:i/>
          <w:lang w:eastAsia="de-DE"/>
        </w:rPr>
        <w:t>Only</w:t>
      </w:r>
      <w:proofErr w:type="spellEnd"/>
      <w:r w:rsidRPr="006D7579">
        <w:rPr>
          <w:i/>
          <w:lang w:eastAsia="de-DE"/>
        </w:rPr>
        <w:t xml:space="preserve"> in </w:t>
      </w:r>
      <w:proofErr w:type="spellStart"/>
      <w:r w:rsidRPr="006D7579">
        <w:rPr>
          <w:i/>
          <w:lang w:eastAsia="de-DE"/>
        </w:rPr>
        <w:t>the</w:t>
      </w:r>
      <w:proofErr w:type="spellEnd"/>
      <w:r w:rsidRPr="006D7579">
        <w:rPr>
          <w:i/>
          <w:lang w:eastAsia="de-DE"/>
        </w:rPr>
        <w:t xml:space="preserve"> </w:t>
      </w:r>
      <w:proofErr w:type="spellStart"/>
      <w:r w:rsidRPr="006D7579">
        <w:rPr>
          <w:i/>
          <w:lang w:eastAsia="de-DE"/>
        </w:rPr>
        <w:t>gospel</w:t>
      </w:r>
      <w:proofErr w:type="spellEnd"/>
      <w:r w:rsidRPr="006D7579">
        <w:rPr>
          <w:i/>
          <w:lang w:eastAsia="de-DE"/>
        </w:rPr>
        <w:t xml:space="preserve"> </w:t>
      </w:r>
      <w:proofErr w:type="spellStart"/>
      <w:r w:rsidRPr="006D7579">
        <w:rPr>
          <w:i/>
          <w:lang w:eastAsia="de-DE"/>
        </w:rPr>
        <w:t>can</w:t>
      </w:r>
      <w:proofErr w:type="spellEnd"/>
      <w:r w:rsidRPr="006D7579">
        <w:rPr>
          <w:i/>
          <w:lang w:eastAsia="de-DE"/>
        </w:rPr>
        <w:t xml:space="preserve"> </w:t>
      </w:r>
      <w:proofErr w:type="spellStart"/>
      <w:r w:rsidRPr="006D7579">
        <w:rPr>
          <w:i/>
          <w:lang w:eastAsia="de-DE"/>
        </w:rPr>
        <w:t>we</w:t>
      </w:r>
      <w:proofErr w:type="spellEnd"/>
      <w:r w:rsidRPr="006D7579">
        <w:rPr>
          <w:i/>
          <w:lang w:eastAsia="de-DE"/>
        </w:rPr>
        <w:t xml:space="preserve"> </w:t>
      </w:r>
      <w:proofErr w:type="spellStart"/>
      <w:r w:rsidRPr="006D7579">
        <w:rPr>
          <w:i/>
          <w:lang w:eastAsia="de-DE"/>
        </w:rPr>
        <w:t>be</w:t>
      </w:r>
      <w:proofErr w:type="spellEnd"/>
      <w:r w:rsidRPr="006D7579">
        <w:rPr>
          <w:i/>
          <w:lang w:eastAsia="de-DE"/>
        </w:rPr>
        <w:t xml:space="preserve"> </w:t>
      </w:r>
      <w:proofErr w:type="spellStart"/>
      <w:r w:rsidRPr="006D7579">
        <w:rPr>
          <w:i/>
          <w:lang w:eastAsia="de-DE"/>
        </w:rPr>
        <w:t>both</w:t>
      </w:r>
      <w:proofErr w:type="spellEnd"/>
      <w:r w:rsidRPr="006D7579">
        <w:rPr>
          <w:i/>
          <w:lang w:eastAsia="de-DE"/>
        </w:rPr>
        <w:t xml:space="preserve"> </w:t>
      </w:r>
      <w:proofErr w:type="spellStart"/>
      <w:r w:rsidRPr="006D7579">
        <w:rPr>
          <w:i/>
          <w:lang w:eastAsia="de-DE"/>
        </w:rPr>
        <w:t>enormously</w:t>
      </w:r>
      <w:proofErr w:type="spellEnd"/>
      <w:r w:rsidRPr="006D7579">
        <w:rPr>
          <w:i/>
          <w:lang w:eastAsia="de-DE"/>
        </w:rPr>
        <w:t xml:space="preserve"> </w:t>
      </w:r>
      <w:proofErr w:type="spellStart"/>
      <w:r w:rsidRPr="006D7579">
        <w:rPr>
          <w:i/>
          <w:lang w:eastAsia="de-DE"/>
        </w:rPr>
        <w:t>bold</w:t>
      </w:r>
      <w:proofErr w:type="spellEnd"/>
      <w:r w:rsidRPr="006D7579">
        <w:rPr>
          <w:i/>
          <w:lang w:eastAsia="de-DE"/>
        </w:rPr>
        <w:t xml:space="preserve"> </w:t>
      </w:r>
      <w:proofErr w:type="spellStart"/>
      <w:r w:rsidRPr="006D7579">
        <w:rPr>
          <w:i/>
          <w:lang w:eastAsia="de-DE"/>
        </w:rPr>
        <w:t>and</w:t>
      </w:r>
      <w:proofErr w:type="spellEnd"/>
      <w:r w:rsidRPr="006D7579">
        <w:rPr>
          <w:i/>
          <w:lang w:eastAsia="de-DE"/>
        </w:rPr>
        <w:t xml:space="preserve"> </w:t>
      </w:r>
      <w:proofErr w:type="spellStart"/>
      <w:r w:rsidRPr="006D7579">
        <w:rPr>
          <w:i/>
          <w:lang w:eastAsia="de-DE"/>
        </w:rPr>
        <w:t>utterly</w:t>
      </w:r>
      <w:proofErr w:type="spellEnd"/>
      <w:r w:rsidRPr="006D7579">
        <w:rPr>
          <w:i/>
          <w:lang w:eastAsia="de-DE"/>
        </w:rPr>
        <w:t xml:space="preserve"> sensitive </w:t>
      </w:r>
      <w:proofErr w:type="spellStart"/>
      <w:r w:rsidRPr="006D7579">
        <w:rPr>
          <w:i/>
          <w:lang w:eastAsia="de-DE"/>
        </w:rPr>
        <w:t>and</w:t>
      </w:r>
      <w:proofErr w:type="spellEnd"/>
      <w:r w:rsidRPr="006D7579">
        <w:rPr>
          <w:i/>
          <w:lang w:eastAsia="de-DE"/>
        </w:rPr>
        <w:t xml:space="preserve"> </w:t>
      </w:r>
      <w:proofErr w:type="spellStart"/>
      <w:r w:rsidRPr="006D7579">
        <w:rPr>
          <w:i/>
          <w:lang w:eastAsia="de-DE"/>
        </w:rPr>
        <w:t>humble</w:t>
      </w:r>
      <w:proofErr w:type="spellEnd"/>
      <w:r w:rsidRPr="006D7579">
        <w:rPr>
          <w:i/>
          <w:lang w:eastAsia="de-DE"/>
        </w:rPr>
        <w:t xml:space="preserve">, </w:t>
      </w:r>
      <w:proofErr w:type="spellStart"/>
      <w:r w:rsidRPr="006D7579">
        <w:rPr>
          <w:i/>
          <w:lang w:eastAsia="de-DE"/>
        </w:rPr>
        <w:t>for</w:t>
      </w:r>
      <w:proofErr w:type="spellEnd"/>
      <w:r w:rsidRPr="006D7579">
        <w:rPr>
          <w:i/>
          <w:lang w:eastAsia="de-DE"/>
        </w:rPr>
        <w:t xml:space="preserve"> </w:t>
      </w:r>
      <w:proofErr w:type="spellStart"/>
      <w:r w:rsidRPr="006D7579">
        <w:rPr>
          <w:i/>
          <w:lang w:eastAsia="de-DE"/>
        </w:rPr>
        <w:t>we</w:t>
      </w:r>
      <w:proofErr w:type="spellEnd"/>
      <w:r w:rsidRPr="006D7579">
        <w:rPr>
          <w:i/>
          <w:lang w:eastAsia="de-DE"/>
        </w:rPr>
        <w:t xml:space="preserve"> </w:t>
      </w:r>
      <w:proofErr w:type="spellStart"/>
      <w:r w:rsidRPr="006D7579">
        <w:rPr>
          <w:i/>
          <w:lang w:eastAsia="de-DE"/>
        </w:rPr>
        <w:t>are</w:t>
      </w:r>
      <w:proofErr w:type="spellEnd"/>
      <w:r w:rsidRPr="006D7579">
        <w:rPr>
          <w:i/>
          <w:lang w:eastAsia="de-DE"/>
        </w:rPr>
        <w:t xml:space="preserve"> </w:t>
      </w:r>
      <w:proofErr w:type="spellStart"/>
      <w:r w:rsidRPr="006D7579">
        <w:rPr>
          <w:i/>
          <w:lang w:eastAsia="de-DE"/>
        </w:rPr>
        <w:t>simul</w:t>
      </w:r>
      <w:proofErr w:type="spellEnd"/>
      <w:r w:rsidRPr="006D7579">
        <w:rPr>
          <w:i/>
          <w:lang w:eastAsia="de-DE"/>
        </w:rPr>
        <w:t xml:space="preserve"> </w:t>
      </w:r>
      <w:proofErr w:type="spellStart"/>
      <w:r w:rsidRPr="006D7579">
        <w:rPr>
          <w:i/>
          <w:lang w:eastAsia="de-DE"/>
        </w:rPr>
        <w:t>iustus</w:t>
      </w:r>
      <w:proofErr w:type="spellEnd"/>
      <w:r w:rsidRPr="006D7579">
        <w:rPr>
          <w:i/>
          <w:lang w:eastAsia="de-DE"/>
        </w:rPr>
        <w:t xml:space="preserve"> et </w:t>
      </w:r>
      <w:proofErr w:type="spellStart"/>
      <w:r w:rsidRPr="006D7579">
        <w:rPr>
          <w:i/>
          <w:lang w:eastAsia="de-DE"/>
        </w:rPr>
        <w:t>peccator</w:t>
      </w:r>
      <w:proofErr w:type="spellEnd"/>
      <w:r w:rsidRPr="006D7579">
        <w:rPr>
          <w:i/>
          <w:lang w:eastAsia="de-DE"/>
        </w:rPr>
        <w:t xml:space="preserve">, </w:t>
      </w:r>
      <w:proofErr w:type="spellStart"/>
      <w:r w:rsidRPr="006D7579">
        <w:rPr>
          <w:i/>
          <w:lang w:eastAsia="de-DE"/>
        </w:rPr>
        <w:t>both</w:t>
      </w:r>
      <w:proofErr w:type="spellEnd"/>
      <w:r w:rsidRPr="006D7579">
        <w:rPr>
          <w:i/>
          <w:lang w:eastAsia="de-DE"/>
        </w:rPr>
        <w:t xml:space="preserve"> </w:t>
      </w:r>
      <w:proofErr w:type="spellStart"/>
      <w:r w:rsidRPr="006D7579">
        <w:rPr>
          <w:i/>
          <w:lang w:eastAsia="de-DE"/>
        </w:rPr>
        <w:t>perfect</w:t>
      </w:r>
      <w:proofErr w:type="spellEnd"/>
      <w:r w:rsidRPr="006D7579">
        <w:rPr>
          <w:i/>
          <w:lang w:eastAsia="de-DE"/>
        </w:rPr>
        <w:t xml:space="preserve"> </w:t>
      </w:r>
      <w:proofErr w:type="spellStart"/>
      <w:r w:rsidRPr="006D7579">
        <w:rPr>
          <w:i/>
          <w:lang w:eastAsia="de-DE"/>
        </w:rPr>
        <w:t>and</w:t>
      </w:r>
      <w:proofErr w:type="spellEnd"/>
      <w:r w:rsidRPr="006D7579">
        <w:rPr>
          <w:i/>
          <w:lang w:eastAsia="de-DE"/>
        </w:rPr>
        <w:t xml:space="preserve"> </w:t>
      </w:r>
      <w:proofErr w:type="spellStart"/>
      <w:r w:rsidRPr="006D7579">
        <w:rPr>
          <w:i/>
          <w:lang w:eastAsia="de-DE"/>
        </w:rPr>
        <w:t>sinner</w:t>
      </w:r>
      <w:proofErr w:type="spellEnd"/>
      <w:r w:rsidRPr="006D7579">
        <w:rPr>
          <w:i/>
          <w:lang w:eastAsia="de-DE"/>
        </w:rPr>
        <w:t>.“</w:t>
      </w:r>
      <w:bookmarkEnd w:id="4"/>
      <w:bookmarkEnd w:id="5"/>
      <w:r w:rsidR="006D7579" w:rsidRPr="006D7579">
        <w:rPr>
          <w:i/>
          <w:lang w:eastAsia="de-DE"/>
        </w:rPr>
        <w:t xml:space="preserve"> (T. Keller</w:t>
      </w:r>
      <w:r w:rsidRPr="006D7579">
        <w:rPr>
          <w:rStyle w:val="Funotenzeichen"/>
          <w:i/>
          <w:lang w:eastAsia="de-DE"/>
        </w:rPr>
        <w:footnoteReference w:id="7"/>
      </w:r>
      <w:r w:rsidR="006D7579" w:rsidRPr="006D7579">
        <w:rPr>
          <w:i/>
          <w:lang w:eastAsia="de-DE"/>
        </w:rPr>
        <w:t>)</w:t>
      </w:r>
    </w:p>
    <w:p w14:paraId="05FA071E" w14:textId="5E2648D7" w:rsidR="005D5158" w:rsidRDefault="005D5158" w:rsidP="005D5158">
      <w:pPr>
        <w:pStyle w:val="NummerierteListe"/>
        <w:tabs>
          <w:tab w:val="clear" w:pos="360"/>
        </w:tabs>
      </w:pPr>
      <w:r>
        <w:rPr>
          <w:lang w:eastAsia="de-DE"/>
        </w:rPr>
        <w:t xml:space="preserve">Seelsorge </w:t>
      </w:r>
      <w:r w:rsidR="00B50B9B">
        <w:rPr>
          <w:lang w:eastAsia="de-DE"/>
        </w:rPr>
        <w:t xml:space="preserve">ist </w:t>
      </w:r>
      <w:r>
        <w:rPr>
          <w:lang w:eastAsia="de-DE"/>
        </w:rPr>
        <w:t xml:space="preserve">die gespannte Erwartung, was eigentlich passiert, wenn Jesus Christus mit dem Evangelium der Gnade in Berührung kommt mit dem Menschen, der sich in einer existenziell herausfordernden Lebenslage befindet. </w:t>
      </w:r>
    </w:p>
    <w:p w14:paraId="63EFBB33" w14:textId="772A329D" w:rsidR="005D5158" w:rsidRPr="00C65293" w:rsidRDefault="005D5158" w:rsidP="005D5158">
      <w:pPr>
        <w:pStyle w:val="berschrift2"/>
        <w:numPr>
          <w:ilvl w:val="1"/>
          <w:numId w:val="34"/>
        </w:numPr>
        <w:spacing w:line="264" w:lineRule="auto"/>
        <w:jc w:val="both"/>
        <w:rPr>
          <w:sz w:val="24"/>
        </w:rPr>
      </w:pPr>
      <w:r w:rsidRPr="00C65293">
        <w:rPr>
          <w:sz w:val="24"/>
        </w:rPr>
        <w:t>Wie andere die Seelsorge verstehen</w:t>
      </w:r>
    </w:p>
    <w:p w14:paraId="78861E6B" w14:textId="228AC739" w:rsidR="005D5158" w:rsidRDefault="005D5158" w:rsidP="005D5158">
      <w:pPr>
        <w:pStyle w:val="berschrift3"/>
        <w:numPr>
          <w:ilvl w:val="2"/>
          <w:numId w:val="34"/>
        </w:numPr>
        <w:spacing w:line="264" w:lineRule="auto"/>
      </w:pPr>
      <w:r w:rsidRPr="00F80B99">
        <w:t>Dietrich Rössler: Seelsorge als Hilfe zur Lebensgewissheit</w:t>
      </w:r>
    </w:p>
    <w:p w14:paraId="6C7C405E" w14:textId="27554782" w:rsidR="000F4905" w:rsidRPr="000F4905" w:rsidRDefault="000F4905" w:rsidP="000F4905">
      <w:pPr>
        <w:jc w:val="center"/>
      </w:pPr>
      <w:r w:rsidRPr="000F4905">
        <w:rPr>
          <w:noProof/>
          <w:lang w:eastAsia="de-DE"/>
        </w:rPr>
        <w:drawing>
          <wp:inline distT="0" distB="0" distL="0" distR="0" wp14:anchorId="28BADC63" wp14:editId="5A21C060">
            <wp:extent cx="4437326" cy="3330076"/>
            <wp:effectExtent l="0" t="0" r="8255" b="0"/>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7492" cy="3330201"/>
                    </a:xfrm>
                    <a:prstGeom prst="rect">
                      <a:avLst/>
                    </a:prstGeom>
                    <a:noFill/>
                    <a:ln>
                      <a:noFill/>
                    </a:ln>
                  </pic:spPr>
                </pic:pic>
              </a:graphicData>
            </a:graphic>
          </wp:inline>
        </w:drawing>
      </w:r>
      <w:r>
        <w:rPr>
          <w:rStyle w:val="Funotenzeichen"/>
          <w:rFonts w:asciiTheme="minorHAnsi" w:hAnsiTheme="minorHAnsi"/>
        </w:rPr>
        <w:footnoteReference w:id="8"/>
      </w:r>
    </w:p>
    <w:p w14:paraId="48072472" w14:textId="77777777" w:rsidR="005D5158" w:rsidRPr="000F4905" w:rsidRDefault="005D5158" w:rsidP="005D5158">
      <w:pPr>
        <w:pStyle w:val="Textkrper"/>
        <w:rPr>
          <w:b w:val="0"/>
          <w:i/>
        </w:rPr>
      </w:pPr>
      <w:r w:rsidRPr="000F4905">
        <w:rPr>
          <w:b w:val="0"/>
          <w:i/>
        </w:rPr>
        <w:t>„Die Zuwendung zum einzelnen Menschen, die im Namen des Christentums und im Au</w:t>
      </w:r>
      <w:r w:rsidRPr="000F4905">
        <w:rPr>
          <w:b w:val="0"/>
          <w:i/>
        </w:rPr>
        <w:t>f</w:t>
      </w:r>
      <w:r w:rsidRPr="000F4905">
        <w:rPr>
          <w:b w:val="0"/>
          <w:i/>
        </w:rPr>
        <w:t>trag der Kirche die Bedürftigkeit dieses Menschen wahrzunehmen sucht, ist zunächst immer von der Unmittelbarkeit dieser Aufgabe und von ihrer Evidenz bestimmt.“</w:t>
      </w:r>
      <w:r w:rsidRPr="000F4905">
        <w:rPr>
          <w:rStyle w:val="Funotenzeichen"/>
          <w:b w:val="0"/>
          <w:i/>
        </w:rPr>
        <w:footnoteReference w:id="9"/>
      </w:r>
    </w:p>
    <w:p w14:paraId="04BD87CC" w14:textId="77777777" w:rsidR="005D5158" w:rsidRPr="00CF0B56" w:rsidRDefault="005D5158" w:rsidP="005D5158">
      <w:pPr>
        <w:pStyle w:val="berschrift3"/>
        <w:numPr>
          <w:ilvl w:val="2"/>
          <w:numId w:val="34"/>
        </w:numPr>
        <w:spacing w:line="264" w:lineRule="auto"/>
        <w:rPr>
          <w:rFonts w:asciiTheme="minorHAnsi" w:hAnsiTheme="minorHAnsi"/>
        </w:rPr>
      </w:pPr>
      <w:r w:rsidRPr="00CF0B56">
        <w:rPr>
          <w:rFonts w:asciiTheme="minorHAnsi" w:hAnsiTheme="minorHAnsi"/>
        </w:rPr>
        <w:t>Klaus Winkler: Seelsorge als Freisetzung von christlich motiviertem Verhalten</w:t>
      </w:r>
    </w:p>
    <w:p w14:paraId="44BB9A5A" w14:textId="1D74DD22" w:rsidR="005D5158" w:rsidRPr="008E20E3" w:rsidRDefault="008E20E3" w:rsidP="005D5158">
      <w:pPr>
        <w:pStyle w:val="Textkrper"/>
        <w:rPr>
          <w:b w:val="0"/>
          <w:i/>
        </w:rPr>
      </w:pPr>
      <w:r w:rsidRPr="008E20E3">
        <w:rPr>
          <w:noProof/>
        </w:rPr>
        <w:drawing>
          <wp:anchor distT="0" distB="0" distL="114300" distR="114300" simplePos="0" relativeHeight="251663360" behindDoc="0" locked="0" layoutInCell="1" allowOverlap="1" wp14:anchorId="5F6B9303" wp14:editId="266CF1A8">
            <wp:simplePos x="0" y="0"/>
            <wp:positionH relativeFrom="column">
              <wp:posOffset>977900</wp:posOffset>
            </wp:positionH>
            <wp:positionV relativeFrom="paragraph">
              <wp:posOffset>741680</wp:posOffset>
            </wp:positionV>
            <wp:extent cx="3632200" cy="2724785"/>
            <wp:effectExtent l="0" t="0" r="0" b="0"/>
            <wp:wrapTopAndBottom/>
            <wp:docPr id="1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2200"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158" w:rsidRPr="008E20E3">
        <w:rPr>
          <w:b w:val="0"/>
          <w:i/>
        </w:rPr>
        <w:t>„Allgemein ist Seelsorge zu verstehen als Freisetzung eines christlichen Verhaltens zur Lebensbewältigung. Im besonderen ist Seelsorge zu verstehen als die Bearbeitung von Konflikten unter einer spezifischen Voraussetzung.“</w:t>
      </w:r>
      <w:r w:rsidR="005D5158" w:rsidRPr="008E20E3">
        <w:rPr>
          <w:rStyle w:val="Funotenzeichen"/>
          <w:b w:val="0"/>
          <w:i/>
        </w:rPr>
        <w:footnoteReference w:id="10"/>
      </w:r>
      <w:r w:rsidR="005D5158" w:rsidRPr="008E20E3">
        <w:rPr>
          <w:b w:val="0"/>
          <w:i/>
        </w:rPr>
        <w:t xml:space="preserve"> </w:t>
      </w:r>
    </w:p>
    <w:p w14:paraId="45CE12CB" w14:textId="77777777" w:rsidR="005D5158" w:rsidRDefault="005D5158" w:rsidP="005D5158">
      <w:pPr>
        <w:pStyle w:val="berschrift3"/>
        <w:numPr>
          <w:ilvl w:val="2"/>
          <w:numId w:val="34"/>
        </w:numPr>
        <w:spacing w:line="264" w:lineRule="auto"/>
      </w:pPr>
      <w:r>
        <w:t>Christoph Morgenthaler: Seelsorge als Beziehungsgeschehen</w:t>
      </w:r>
    </w:p>
    <w:p w14:paraId="44F90D22" w14:textId="77777777" w:rsidR="005D5158" w:rsidRPr="00C44E23" w:rsidRDefault="005D5158" w:rsidP="005D5158">
      <w:pPr>
        <w:pStyle w:val="Textkrper"/>
        <w:rPr>
          <w:b w:val="0"/>
          <w:i/>
        </w:rPr>
      </w:pPr>
      <w:r w:rsidRPr="00C44E23">
        <w:rPr>
          <w:b w:val="0"/>
          <w:i/>
        </w:rPr>
        <w:t>„Seelsorge geschieht dort, wo eine ausgebildete Seelsorgerin auf eigene Initiative hin ein Gemeindeglied aufsucht, mit ihm ein Gespräch führt und seine Not auch in christl</w:t>
      </w:r>
      <w:r w:rsidRPr="00C44E23">
        <w:rPr>
          <w:b w:val="0"/>
          <w:i/>
        </w:rPr>
        <w:t>i</w:t>
      </w:r>
      <w:r w:rsidRPr="00C44E23">
        <w:rPr>
          <w:b w:val="0"/>
          <w:i/>
        </w:rPr>
        <w:t>cher Perspektive deutet.“</w:t>
      </w:r>
      <w:r w:rsidRPr="00C44E23">
        <w:rPr>
          <w:rStyle w:val="Funotenzeichen"/>
          <w:b w:val="0"/>
          <w:i/>
        </w:rPr>
        <w:footnoteReference w:id="11"/>
      </w:r>
    </w:p>
    <w:p w14:paraId="74F236C2" w14:textId="24A1D0CC" w:rsidR="00C44E23" w:rsidRPr="00C44E23" w:rsidRDefault="007D1BCB" w:rsidP="007D1BCB">
      <w:pPr>
        <w:pStyle w:val="2einrPunkt"/>
        <w:tabs>
          <w:tab w:val="clear" w:pos="1211"/>
        </w:tabs>
        <w:jc w:val="center"/>
      </w:pPr>
      <w:bookmarkStart w:id="6" w:name="OLE_LINK19"/>
      <w:r w:rsidRPr="007D1BCB">
        <w:rPr>
          <w:noProof/>
        </w:rPr>
        <w:drawing>
          <wp:inline distT="0" distB="0" distL="0" distR="0" wp14:anchorId="49C96747" wp14:editId="220034CC">
            <wp:extent cx="3319726" cy="2491352"/>
            <wp:effectExtent l="0" t="0" r="8255" b="0"/>
            <wp:docPr id="1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9850" cy="2491445"/>
                    </a:xfrm>
                    <a:prstGeom prst="rect">
                      <a:avLst/>
                    </a:prstGeom>
                    <a:noFill/>
                    <a:ln>
                      <a:noFill/>
                    </a:ln>
                  </pic:spPr>
                </pic:pic>
              </a:graphicData>
            </a:graphic>
          </wp:inline>
        </w:drawing>
      </w:r>
    </w:p>
    <w:bookmarkEnd w:id="6"/>
    <w:p w14:paraId="1AD544B3" w14:textId="77777777" w:rsidR="005D5158" w:rsidRPr="00CF0B56" w:rsidRDefault="005D5158" w:rsidP="005D5158">
      <w:pPr>
        <w:pStyle w:val="berschrift2"/>
        <w:numPr>
          <w:ilvl w:val="1"/>
          <w:numId w:val="34"/>
        </w:numPr>
        <w:spacing w:line="264" w:lineRule="auto"/>
        <w:jc w:val="both"/>
        <w:rPr>
          <w:rFonts w:asciiTheme="minorHAnsi" w:hAnsiTheme="minorHAnsi"/>
        </w:rPr>
      </w:pPr>
      <w:r w:rsidRPr="00CF0B56">
        <w:rPr>
          <w:rFonts w:asciiTheme="minorHAnsi" w:hAnsiTheme="minorHAnsi"/>
        </w:rPr>
        <w:t>Hinweise zur Vorlesung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6"/>
        <w:gridCol w:w="3232"/>
      </w:tblGrid>
      <w:tr w:rsidR="000E64DB" w14:paraId="448ED97C" w14:textId="77777777" w:rsidTr="000E64DB">
        <w:tc>
          <w:tcPr>
            <w:tcW w:w="6056" w:type="dxa"/>
          </w:tcPr>
          <w:p w14:paraId="3BE873C8" w14:textId="32AF7D52" w:rsidR="000E64DB" w:rsidRDefault="000E64DB" w:rsidP="005D5158">
            <w:pPr>
              <w:rPr>
                <w:rFonts w:asciiTheme="minorHAnsi" w:hAnsiTheme="minorHAnsi"/>
              </w:rPr>
            </w:pPr>
            <w:r>
              <w:rPr>
                <w:rFonts w:asciiTheme="minorHAnsi" w:hAnsiTheme="minorHAnsi"/>
                <w:noProof/>
                <w:lang w:eastAsia="de-DE"/>
              </w:rPr>
              <w:drawing>
                <wp:inline distT="0" distB="0" distL="0" distR="0" wp14:anchorId="49AC189D" wp14:editId="6B1C053D">
                  <wp:extent cx="3698078" cy="2770197"/>
                  <wp:effectExtent l="0" t="0" r="10795" b="0"/>
                  <wp:docPr id="1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8078" cy="2770197"/>
                          </a:xfrm>
                          <a:prstGeom prst="rect">
                            <a:avLst/>
                          </a:prstGeom>
                          <a:noFill/>
                          <a:ln>
                            <a:noFill/>
                          </a:ln>
                        </pic:spPr>
                      </pic:pic>
                    </a:graphicData>
                  </a:graphic>
                </wp:inline>
              </w:drawing>
            </w:r>
          </w:p>
        </w:tc>
        <w:tc>
          <w:tcPr>
            <w:tcW w:w="3232" w:type="dxa"/>
          </w:tcPr>
          <w:p w14:paraId="659E477C" w14:textId="77777777" w:rsidR="000E64DB" w:rsidRDefault="000E64DB" w:rsidP="000E64DB">
            <w:pPr>
              <w:jc w:val="center"/>
              <w:rPr>
                <w:rFonts w:asciiTheme="minorHAnsi" w:hAnsiTheme="minorHAnsi"/>
              </w:rPr>
            </w:pPr>
            <w:r w:rsidRPr="000E64DB">
              <w:rPr>
                <w:rFonts w:asciiTheme="minorHAnsi" w:hAnsiTheme="minorHAnsi"/>
                <w:noProof/>
                <w:lang w:eastAsia="de-DE"/>
              </w:rPr>
              <w:drawing>
                <wp:inline distT="0" distB="0" distL="0" distR="0" wp14:anchorId="158EC81C" wp14:editId="3F4A2AF5">
                  <wp:extent cx="1479175" cy="2239497"/>
                  <wp:effectExtent l="25400" t="25400" r="19685" b="21590"/>
                  <wp:docPr id="20" name="Bildplatzhalter 9" descr="978378872588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Bildplatzhalter 9" descr="9783788725884.jpg"/>
                          <pic:cNvPicPr>
                            <a:picLocks noGrp="1" noChangeAspect="1"/>
                          </pic:cNvPicPr>
                        </pic:nvPicPr>
                        <pic:blipFill rotWithShape="1">
                          <a:blip r:embed="rId13">
                            <a:extLst>
                              <a:ext uri="{28A0092B-C50C-407E-A947-70E740481C1C}">
                                <a14:useLocalDpi xmlns:a14="http://schemas.microsoft.com/office/drawing/2010/main" val="0"/>
                              </a:ext>
                            </a:extLst>
                          </a:blip>
                          <a:srcRect l="-783" r="274"/>
                          <a:stretch/>
                        </pic:blipFill>
                        <pic:spPr>
                          <a:xfrm>
                            <a:off x="0" y="0"/>
                            <a:ext cx="1479582" cy="2240113"/>
                          </a:xfrm>
                          <a:prstGeom prst="rect">
                            <a:avLst/>
                          </a:prstGeom>
                          <a:ln>
                            <a:solidFill>
                              <a:schemeClr val="bg1">
                                <a:lumMod val="85000"/>
                              </a:schemeClr>
                            </a:solidFill>
                          </a:ln>
                        </pic:spPr>
                      </pic:pic>
                    </a:graphicData>
                  </a:graphic>
                </wp:inline>
              </w:drawing>
            </w:r>
          </w:p>
          <w:p w14:paraId="5FAE80C4" w14:textId="233C5FB9" w:rsidR="000E64DB" w:rsidRPr="000E64DB" w:rsidRDefault="000E64DB" w:rsidP="005D5158">
            <w:pPr>
              <w:rPr>
                <w:rFonts w:asciiTheme="minorHAnsi" w:hAnsiTheme="minorHAnsi"/>
              </w:rPr>
            </w:pPr>
            <w:r w:rsidRPr="000E64DB">
              <w:rPr>
                <w:rFonts w:asciiTheme="minorHAnsi" w:hAnsiTheme="minorHAnsi"/>
                <w:bCs/>
              </w:rPr>
              <w:t>Neukirchen-Vluyn 2012, 2. Auflage 2013</w:t>
            </w:r>
          </w:p>
        </w:tc>
      </w:tr>
    </w:tbl>
    <w:p w14:paraId="1B5EDFF5" w14:textId="3A2DC4FC" w:rsidR="000E64DB" w:rsidRDefault="00182B18" w:rsidP="00182B18">
      <w:pPr>
        <w:jc w:val="center"/>
        <w:rPr>
          <w:rFonts w:asciiTheme="minorHAnsi" w:hAnsiTheme="minorHAnsi"/>
        </w:rPr>
      </w:pPr>
      <w:r w:rsidRPr="00182B18">
        <w:rPr>
          <w:rFonts w:asciiTheme="minorHAnsi" w:hAnsiTheme="minorHAnsi"/>
          <w:noProof/>
          <w:lang w:eastAsia="de-DE"/>
        </w:rPr>
        <w:drawing>
          <wp:inline distT="0" distB="0" distL="0" distR="0" wp14:anchorId="195C165E" wp14:editId="68403E11">
            <wp:extent cx="2970476" cy="2229250"/>
            <wp:effectExtent l="0" t="0" r="1905" b="6350"/>
            <wp:docPr id="2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0587" cy="2229334"/>
                    </a:xfrm>
                    <a:prstGeom prst="rect">
                      <a:avLst/>
                    </a:prstGeom>
                    <a:noFill/>
                    <a:ln>
                      <a:noFill/>
                    </a:ln>
                  </pic:spPr>
                </pic:pic>
              </a:graphicData>
            </a:graphic>
          </wp:inline>
        </w:drawing>
      </w:r>
    </w:p>
    <w:p w14:paraId="0399F35D" w14:textId="738E3343" w:rsidR="00182B18" w:rsidRDefault="00182B18" w:rsidP="00182B18">
      <w:pPr>
        <w:pStyle w:val="berschrift1"/>
        <w:ind w:left="432" w:hanging="432"/>
        <w:jc w:val="center"/>
        <w:rPr>
          <w:sz w:val="32"/>
        </w:rPr>
      </w:pPr>
      <w:r w:rsidRPr="00182B18">
        <w:rPr>
          <w:noProof/>
          <w:sz w:val="32"/>
          <w:lang w:eastAsia="de-DE"/>
        </w:rPr>
        <w:drawing>
          <wp:inline distT="0" distB="0" distL="0" distR="0" wp14:anchorId="6B060C1F" wp14:editId="0A86B96F">
            <wp:extent cx="3389576" cy="2543772"/>
            <wp:effectExtent l="0" t="0" r="0" b="0"/>
            <wp:docPr id="2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9703" cy="2543867"/>
                    </a:xfrm>
                    <a:prstGeom prst="rect">
                      <a:avLst/>
                    </a:prstGeom>
                    <a:noFill/>
                    <a:ln>
                      <a:noFill/>
                    </a:ln>
                  </pic:spPr>
                </pic:pic>
              </a:graphicData>
            </a:graphic>
          </wp:inline>
        </w:drawing>
      </w:r>
    </w:p>
    <w:p w14:paraId="726533BD" w14:textId="77777777" w:rsidR="005D5158" w:rsidRPr="00116524" w:rsidRDefault="005D5158" w:rsidP="005D5158">
      <w:pPr>
        <w:pStyle w:val="berschrift1"/>
        <w:ind w:left="432" w:hanging="432"/>
        <w:rPr>
          <w:noProof/>
        </w:rPr>
      </w:pPr>
      <w:r>
        <w:rPr>
          <w:sz w:val="32"/>
        </w:rPr>
        <w:fldChar w:fldCharType="begin"/>
      </w:r>
      <w:r>
        <w:instrText xml:space="preserve"> ADDIN EN.REFLIST </w:instrText>
      </w:r>
      <w:r>
        <w:rPr>
          <w:sz w:val="32"/>
        </w:rPr>
        <w:fldChar w:fldCharType="separate"/>
      </w:r>
      <w:bookmarkStart w:id="7" w:name="_GoBack"/>
      <w:r w:rsidRPr="00116524">
        <w:rPr>
          <w:noProof/>
        </w:rPr>
        <w:t>Literaturliste</w:t>
      </w:r>
    </w:p>
    <w:p w14:paraId="2F7EDC43" w14:textId="77777777" w:rsidR="005D5158" w:rsidRPr="00116524" w:rsidRDefault="005D5158" w:rsidP="005D5158">
      <w:pPr>
        <w:spacing w:after="0" w:line="240" w:lineRule="auto"/>
        <w:ind w:left="284" w:hanging="284"/>
        <w:rPr>
          <w:noProof/>
        </w:rPr>
      </w:pPr>
      <w:bookmarkStart w:id="8" w:name="_ENREF_1"/>
      <w:bookmarkEnd w:id="7"/>
      <w:r>
        <w:rPr>
          <w:noProof/>
        </w:rPr>
        <w:t>Kirchenamt d</w:t>
      </w:r>
      <w:r w:rsidRPr="00116524">
        <w:rPr>
          <w:noProof/>
        </w:rPr>
        <w:t>er</w:t>
      </w:r>
      <w:r>
        <w:rPr>
          <w:noProof/>
        </w:rPr>
        <w:t xml:space="preserve"> EKD (Hg.)</w:t>
      </w:r>
      <w:r w:rsidRPr="00116524">
        <w:rPr>
          <w:noProof/>
        </w:rPr>
        <w:t xml:space="preserve">: </w:t>
      </w:r>
      <w:r w:rsidRPr="00116524">
        <w:rPr>
          <w:i/>
          <w:noProof/>
        </w:rPr>
        <w:t>Seelsorge - Muttersprache der Kirche</w:t>
      </w:r>
      <w:r w:rsidRPr="00116524">
        <w:rPr>
          <w:noProof/>
        </w:rPr>
        <w:t>. Frankfurt/M. 2010 (epd-Dokumentation 10</w:t>
      </w:r>
      <w:r>
        <w:rPr>
          <w:noProof/>
        </w:rPr>
        <w:t>/2010</w:t>
      </w:r>
      <w:r w:rsidRPr="00116524">
        <w:rPr>
          <w:noProof/>
        </w:rPr>
        <w:t>)</w:t>
      </w:r>
    </w:p>
    <w:p w14:paraId="30D4C0E5" w14:textId="77777777" w:rsidR="005D5158" w:rsidRPr="00116524" w:rsidRDefault="005D5158" w:rsidP="005D5158">
      <w:pPr>
        <w:spacing w:after="0" w:line="240" w:lineRule="auto"/>
        <w:ind w:left="284" w:hanging="284"/>
        <w:rPr>
          <w:noProof/>
        </w:rPr>
      </w:pPr>
      <w:bookmarkStart w:id="9" w:name="_ENREF_2"/>
      <w:bookmarkEnd w:id="8"/>
      <w:r w:rsidRPr="00116524">
        <w:rPr>
          <w:noProof/>
        </w:rPr>
        <w:t xml:space="preserve">Gilbert, Cathrin, Kilz, Hans Werner und Lebert, Stephan:  </w:t>
      </w:r>
      <w:r w:rsidRPr="00116524">
        <w:rPr>
          <w:i/>
          <w:noProof/>
        </w:rPr>
        <w:t>Es war der Kick, pures Adrenalin</w:t>
      </w:r>
      <w:r>
        <w:rPr>
          <w:noProof/>
        </w:rPr>
        <w:t>. DIE ZEIT Nr. 19, 2.5.2013</w:t>
      </w:r>
      <w:r w:rsidRPr="00116524">
        <w:rPr>
          <w:noProof/>
        </w:rPr>
        <w:t>, 13-16</w:t>
      </w:r>
      <w:bookmarkEnd w:id="9"/>
    </w:p>
    <w:p w14:paraId="1E92C057" w14:textId="77777777" w:rsidR="00FD4C13" w:rsidRPr="00960F3C" w:rsidRDefault="00FD4C13" w:rsidP="005D5158">
      <w:pPr>
        <w:spacing w:after="0" w:line="240" w:lineRule="auto"/>
        <w:ind w:left="284" w:hanging="284"/>
        <w:rPr>
          <w:b/>
          <w:noProof/>
        </w:rPr>
      </w:pPr>
      <w:bookmarkStart w:id="10" w:name="_ENREF_3"/>
      <w:r w:rsidRPr="00960F3C">
        <w:rPr>
          <w:b/>
          <w:noProof/>
        </w:rPr>
        <w:t>Herbst, Michael: beziehungsweise. Grundlagen und Praxisfelder evangelischer Seelsorge, Neukirchen-Vluyn 2. Aufl. 2013-10-17</w:t>
      </w:r>
    </w:p>
    <w:p w14:paraId="6CF8E0C3" w14:textId="7EE99F18" w:rsidR="005D5158" w:rsidRDefault="005D5158" w:rsidP="005D5158">
      <w:pPr>
        <w:spacing w:after="0" w:line="240" w:lineRule="auto"/>
        <w:ind w:left="284" w:hanging="284"/>
        <w:rPr>
          <w:noProof/>
        </w:rPr>
      </w:pPr>
      <w:r w:rsidRPr="00116524">
        <w:rPr>
          <w:noProof/>
        </w:rPr>
        <w:t>Huber, Wolfgang, Friedrich, Johannes und Steinacker, Peter</w:t>
      </w:r>
      <w:r>
        <w:rPr>
          <w:noProof/>
        </w:rPr>
        <w:t xml:space="preserve"> (Hg.)</w:t>
      </w:r>
      <w:r w:rsidRPr="00116524">
        <w:rPr>
          <w:noProof/>
        </w:rPr>
        <w:t xml:space="preserve">: </w:t>
      </w:r>
      <w:r w:rsidRPr="00116524">
        <w:rPr>
          <w:i/>
          <w:noProof/>
        </w:rPr>
        <w:t>Kirche in der Vielfalt der Lebensbezüge. Die vierte EKD-Erhebung über Kirchenmitgliedschaft</w:t>
      </w:r>
      <w:r w:rsidRPr="00116524">
        <w:rPr>
          <w:noProof/>
        </w:rPr>
        <w:t xml:space="preserve">. Gütersloh 2006 </w:t>
      </w:r>
      <w:bookmarkStart w:id="11" w:name="_ENREF_4"/>
      <w:bookmarkEnd w:id="10"/>
    </w:p>
    <w:p w14:paraId="22D3954C" w14:textId="77777777" w:rsidR="005D5158" w:rsidRPr="00116524" w:rsidRDefault="005D5158" w:rsidP="005D5158">
      <w:pPr>
        <w:spacing w:after="0" w:line="240" w:lineRule="auto"/>
        <w:ind w:left="284" w:hanging="284"/>
        <w:rPr>
          <w:noProof/>
        </w:rPr>
      </w:pPr>
      <w:r w:rsidRPr="00116524">
        <w:rPr>
          <w:noProof/>
        </w:rPr>
        <w:t xml:space="preserve">Keller, Timothy: </w:t>
      </w:r>
      <w:r w:rsidRPr="00116524">
        <w:rPr>
          <w:i/>
          <w:noProof/>
        </w:rPr>
        <w:t>Center Church. Doing Balanced Gospel-Centered Ministry in Your City</w:t>
      </w:r>
      <w:r w:rsidRPr="00116524">
        <w:rPr>
          <w:noProof/>
        </w:rPr>
        <w:t xml:space="preserve">. Grand Rapids 2012a </w:t>
      </w:r>
      <w:bookmarkEnd w:id="11"/>
    </w:p>
    <w:p w14:paraId="2A135336" w14:textId="77777777" w:rsidR="005D5158" w:rsidRPr="00116524" w:rsidRDefault="005D5158" w:rsidP="005D5158">
      <w:pPr>
        <w:spacing w:after="0" w:line="240" w:lineRule="auto"/>
        <w:ind w:left="284" w:hanging="284"/>
        <w:rPr>
          <w:noProof/>
        </w:rPr>
      </w:pPr>
      <w:bookmarkStart w:id="12" w:name="_ENREF_5"/>
      <w:r w:rsidRPr="00116524">
        <w:rPr>
          <w:noProof/>
        </w:rPr>
        <w:t xml:space="preserve">---: </w:t>
      </w:r>
      <w:r w:rsidRPr="00116524">
        <w:rPr>
          <w:i/>
          <w:noProof/>
        </w:rPr>
        <w:t>Der verschwenderische Gott. Von zwei verlorenen Söhnen und einem liebenden Vater</w:t>
      </w:r>
      <w:r w:rsidRPr="00116524">
        <w:rPr>
          <w:noProof/>
        </w:rPr>
        <w:t xml:space="preserve">. Basel 3. Aufl. 2012b </w:t>
      </w:r>
      <w:bookmarkEnd w:id="12"/>
    </w:p>
    <w:p w14:paraId="426C06D9" w14:textId="77777777" w:rsidR="005D5158" w:rsidRPr="00116524" w:rsidRDefault="005D5158" w:rsidP="005D5158">
      <w:pPr>
        <w:spacing w:after="0" w:line="240" w:lineRule="auto"/>
        <w:ind w:left="284" w:hanging="284"/>
        <w:rPr>
          <w:noProof/>
        </w:rPr>
      </w:pPr>
      <w:bookmarkStart w:id="13" w:name="_ENREF_6"/>
      <w:r w:rsidRPr="00116524">
        <w:rPr>
          <w:noProof/>
        </w:rPr>
        <w:t xml:space="preserve">Morgenthaler, Christoph: </w:t>
      </w:r>
      <w:r w:rsidRPr="00116524">
        <w:rPr>
          <w:i/>
          <w:noProof/>
        </w:rPr>
        <w:t>Seelsorge</w:t>
      </w:r>
      <w:r w:rsidRPr="00116524">
        <w:rPr>
          <w:noProof/>
        </w:rPr>
        <w:t>. Gütersloh 2009 (Lehrbuch Praktische Theologie Bd. 3 )</w:t>
      </w:r>
      <w:bookmarkEnd w:id="13"/>
    </w:p>
    <w:p w14:paraId="454F9091" w14:textId="77777777" w:rsidR="005D5158" w:rsidRPr="00116524" w:rsidRDefault="005D5158" w:rsidP="005D5158">
      <w:pPr>
        <w:spacing w:after="0" w:line="240" w:lineRule="auto"/>
        <w:ind w:left="284" w:hanging="284"/>
        <w:rPr>
          <w:noProof/>
        </w:rPr>
      </w:pPr>
      <w:bookmarkStart w:id="14" w:name="_ENREF_7"/>
      <w:r w:rsidRPr="00116524">
        <w:rPr>
          <w:noProof/>
        </w:rPr>
        <w:t xml:space="preserve">Newbigin, Lesslie: </w:t>
      </w:r>
      <w:r w:rsidRPr="00116524">
        <w:rPr>
          <w:i/>
          <w:noProof/>
        </w:rPr>
        <w:t>The Gospel in a Pluralist Society</w:t>
      </w:r>
      <w:r w:rsidRPr="00116524">
        <w:rPr>
          <w:noProof/>
        </w:rPr>
        <w:t xml:space="preserve">. Grand Rapids 1989 </w:t>
      </w:r>
      <w:bookmarkEnd w:id="14"/>
    </w:p>
    <w:p w14:paraId="1869ED6F" w14:textId="77777777" w:rsidR="005D5158" w:rsidRPr="00116524" w:rsidRDefault="005D5158" w:rsidP="005D5158">
      <w:pPr>
        <w:spacing w:after="0" w:line="240" w:lineRule="auto"/>
        <w:ind w:left="284" w:hanging="284"/>
        <w:rPr>
          <w:noProof/>
        </w:rPr>
      </w:pPr>
      <w:bookmarkStart w:id="15" w:name="_ENREF_8"/>
      <w:r w:rsidRPr="00116524">
        <w:rPr>
          <w:noProof/>
        </w:rPr>
        <w:t xml:space="preserve">Rössler, Dietrich: </w:t>
      </w:r>
      <w:r w:rsidRPr="00116524">
        <w:rPr>
          <w:i/>
          <w:noProof/>
        </w:rPr>
        <w:t>Grundriss der Praktischen Theologie</w:t>
      </w:r>
      <w:r w:rsidRPr="00116524">
        <w:rPr>
          <w:noProof/>
        </w:rPr>
        <w:t xml:space="preserve">. Berlin und New York 1986 </w:t>
      </w:r>
      <w:bookmarkEnd w:id="15"/>
    </w:p>
    <w:p w14:paraId="1C0B1A4F" w14:textId="57B35F5E" w:rsidR="005D5158" w:rsidRPr="00A33982" w:rsidRDefault="005D5158" w:rsidP="007E3D60">
      <w:pPr>
        <w:spacing w:after="0" w:line="240" w:lineRule="auto"/>
        <w:ind w:left="284" w:hanging="284"/>
      </w:pPr>
      <w:bookmarkStart w:id="16" w:name="_ENREF_9"/>
      <w:r w:rsidRPr="00116524">
        <w:rPr>
          <w:noProof/>
        </w:rPr>
        <w:t xml:space="preserve">Winkler, Klaus: </w:t>
      </w:r>
      <w:r w:rsidRPr="00116524">
        <w:rPr>
          <w:i/>
          <w:noProof/>
        </w:rPr>
        <w:t>Seelsorge</w:t>
      </w:r>
      <w:r w:rsidRPr="00116524">
        <w:rPr>
          <w:noProof/>
        </w:rPr>
        <w:t xml:space="preserve">. Berlin und New York 1997 </w:t>
      </w:r>
      <w:bookmarkEnd w:id="16"/>
      <w:r>
        <w:fldChar w:fldCharType="end"/>
      </w:r>
    </w:p>
    <w:p w14:paraId="48515800" w14:textId="39975BB0" w:rsidR="00454375" w:rsidRDefault="00454375" w:rsidP="0091430E">
      <w:pPr>
        <w:rPr>
          <w:rFonts w:asciiTheme="minorHAnsi" w:hAnsiTheme="minorHAnsi"/>
          <w:sz w:val="22"/>
        </w:rPr>
      </w:pPr>
    </w:p>
    <w:sectPr w:rsidR="00454375" w:rsidSect="000D11E1">
      <w:headerReference w:type="default" r:id="rId16"/>
      <w:footerReference w:type="default" r:id="rId17"/>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960F3C" w:rsidRDefault="00960F3C" w:rsidP="000D11E1">
      <w:pPr>
        <w:spacing w:after="0" w:line="240" w:lineRule="auto"/>
      </w:pPr>
      <w:r>
        <w:separator/>
      </w:r>
    </w:p>
  </w:endnote>
  <w:endnote w:type="continuationSeparator" w:id="0">
    <w:p w14:paraId="3E2D083C" w14:textId="77777777" w:rsidR="00960F3C" w:rsidRDefault="00960F3C"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3E61A" w14:textId="77777777" w:rsidR="00960F3C" w:rsidRPr="00496B32" w:rsidRDefault="00960F3C">
    <w:pPr>
      <w:pStyle w:val="Fuzeile"/>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r>
      <w:fldChar w:fldCharType="begin"/>
    </w:r>
    <w:r>
      <w:instrText xml:space="preserve"> PAGE   \* MERGEFORMAT </w:instrText>
    </w:r>
    <w:r>
      <w:fldChar w:fldCharType="separate"/>
    </w:r>
    <w:r w:rsidR="00C65293" w:rsidRPr="00C65293">
      <w:rPr>
        <w:noProof/>
        <w:sz w:val="20"/>
        <w:szCs w:val="20"/>
      </w:rPr>
      <w:t>5</w:t>
    </w:r>
    <w:r>
      <w:rPr>
        <w:noProof/>
        <w:sz w:val="20"/>
        <w:szCs w:val="20"/>
      </w:rPr>
      <w:fldChar w:fldCharType="end"/>
    </w:r>
  </w:p>
  <w:p w14:paraId="2ACF644A" w14:textId="4F2BD3B5" w:rsidR="00960F3C" w:rsidRPr="00496B32" w:rsidRDefault="00960F3C" w:rsidP="000D11E1">
    <w:pPr>
      <w:pStyle w:val="Fuzeile"/>
      <w:rPr>
        <w:sz w:val="16"/>
        <w:szCs w:val="16"/>
      </w:rPr>
    </w:pPr>
    <w:r>
      <w:rPr>
        <w:sz w:val="16"/>
        <w:szCs w:val="16"/>
      </w:rPr>
      <w:t>18. Oktober 2013</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960F3C" w:rsidRDefault="00960F3C" w:rsidP="000D11E1">
      <w:pPr>
        <w:spacing w:after="0" w:line="240" w:lineRule="auto"/>
      </w:pPr>
      <w:r>
        <w:separator/>
      </w:r>
    </w:p>
  </w:footnote>
  <w:footnote w:type="continuationSeparator" w:id="0">
    <w:p w14:paraId="54522CB8" w14:textId="77777777" w:rsidR="00960F3C" w:rsidRDefault="00960F3C" w:rsidP="000D11E1">
      <w:pPr>
        <w:spacing w:after="0" w:line="240" w:lineRule="auto"/>
      </w:pPr>
      <w:r>
        <w:continuationSeparator/>
      </w:r>
    </w:p>
  </w:footnote>
  <w:footnote w:id="1">
    <w:p w14:paraId="38768D13" w14:textId="36F51386" w:rsidR="00960F3C" w:rsidRDefault="00960F3C" w:rsidP="005D5158">
      <w:pPr>
        <w:pStyle w:val="Funotentext"/>
      </w:pPr>
      <w:r>
        <w:rPr>
          <w:rStyle w:val="Funotenzeichen"/>
        </w:rPr>
        <w:footnoteRef/>
      </w:r>
      <w:r>
        <w:t xml:space="preserve"> Vgl. </w:t>
      </w:r>
      <w:r>
        <w:fldChar w:fldCharType="begin"/>
      </w:r>
      <w:r>
        <w:instrText xml:space="preserve"> ADDIN EN.CITE &lt;EndNote&gt;&lt;Cite&gt;&lt;Author&gt;EKD&lt;/Author&gt;&lt;Year&gt;2010&lt;/Year&gt;&lt;RecNum&gt;933&lt;/RecNum&gt;&lt;DisplayText&gt;Kirchenamt der EKD, 2010&lt;/DisplayText&gt;&lt;record&gt;&lt;rec-number&gt;933&lt;/rec-number&gt;&lt;foreign-keys&gt;&lt;key app="EN" db-id="0t0dxv9vetdatmef0a959d9wdwf995aa9dxw"&gt;933&lt;/key&gt;&lt;/foreign-keys&gt;&lt;ref-type name="Edited Book"&gt;28&lt;/ref-type&gt;&lt;contributors&gt;&lt;authors&gt;&lt;author&gt;Kirchenamt der EKD&lt;/author&gt;&lt;/authors&gt;&lt;secondary-authors&gt;&lt;author&gt;EPD&lt;/author&gt;&lt;/secondary-authors&gt;&lt;/contributors&gt;&lt;titles&gt;&lt;title&gt;Seelsorge - Muttersprache der Kirche&lt;/title&gt;&lt;secondary-title&gt;epd-Dokumentation&lt;/secondary-title&gt;&lt;/titles&gt;&lt;periodical&gt;&lt;full-title&gt;epd-Dokumentation&lt;/full-title&gt;&lt;/periodical&gt;&lt;number&gt;10 &lt;/number&gt;&lt;dates&gt;&lt;year&gt;2010&lt;/year&gt;&lt;/dates&gt;&lt;pub-location&gt;Frankfurt/M.&lt;/pub-location&gt;&lt;urls&gt;&lt;/urls&gt;&lt;/record&gt;&lt;/Cite&gt;&lt;/EndNote&gt;</w:instrText>
      </w:r>
      <w:r>
        <w:fldChar w:fldCharType="separate"/>
      </w:r>
      <w:r>
        <w:rPr>
          <w:noProof/>
        </w:rPr>
        <w:t>Kirchenamt der EKD, 2010</w:t>
      </w:r>
      <w:r>
        <w:fldChar w:fldCharType="end"/>
      </w:r>
      <w:r>
        <w:t xml:space="preserve">, 52: „Die Seelsorge als Kernkompetenz der Kirche steht öffentlich in ihren Kirchengemeinden, in diakonischen Einrichtungen wie in anderen gesellschaftlich wichtigen Institutionen in hohem Ansehen.“ Vgl. auch </w:t>
      </w:r>
    </w:p>
  </w:footnote>
  <w:footnote w:id="2">
    <w:p w14:paraId="370EEB98" w14:textId="77777777" w:rsidR="00960F3C" w:rsidRDefault="00960F3C" w:rsidP="005D5158">
      <w:pPr>
        <w:pStyle w:val="Funotentext"/>
      </w:pPr>
      <w:r>
        <w:rPr>
          <w:rStyle w:val="Funotenzeichen"/>
        </w:rPr>
        <w:footnoteRef/>
      </w:r>
      <w:r>
        <w:t xml:space="preserve"> </w:t>
      </w:r>
      <w:r>
        <w:fldChar w:fldCharType="begin"/>
      </w:r>
      <w:r>
        <w:instrText xml:space="preserve"> ADDIN EN.CITE &lt;EndNote&gt;&lt;Cite&gt;&lt;Author&gt;Huber&lt;/Author&gt;&lt;Year&gt;2006&lt;/Year&gt;&lt;RecNum&gt;937&lt;/RecNum&gt;&lt;DisplayText&gt;Wolfgang Huber, Johannes Friedrich und Peter Steinacker, 2006&lt;/DisplayText&gt;&lt;record&gt;&lt;rec-number&gt;937&lt;/rec-number&gt;&lt;foreign-keys&gt;&lt;key app="EN" db-id="0t0dxv9vetdatmef0a959d9wdwf995aa9dxw"&gt;937&lt;/key&gt;&lt;/foreign-keys&gt;&lt;ref-type name="Edited Book"&gt;28&lt;/ref-type&gt;&lt;contributors&gt;&lt;authors&gt;&lt;author&gt;Wolfgang Huber&lt;/author&gt;&lt;author&gt;Johannes Friedrich&lt;/author&gt;&lt;author&gt;Peter Steinacker&lt;/author&gt;&lt;/authors&gt;&lt;/contributors&gt;&lt;titles&gt;&lt;title&gt;Kirche in der Vielfalt der Lebensbezüge. Die vierte EKD-Erhebung über Kirchenmitgliedschaft&lt;/title&gt;&lt;/titles&gt;&lt;dates&gt;&lt;year&gt;2006&lt;/year&gt;&lt;/dates&gt;&lt;pub-location&gt;Gütersloh&lt;/pub-location&gt;&lt;urls&gt;&lt;/urls&gt;&lt;/record&gt;&lt;/Cite&gt;&lt;/EndNote&gt;</w:instrText>
      </w:r>
      <w:r>
        <w:fldChar w:fldCharType="separate"/>
      </w:r>
      <w:r>
        <w:rPr>
          <w:noProof/>
        </w:rPr>
        <w:t>Wolfgang Huber, Johannes Friedrich und Peter Steinacker, 2006</w:t>
      </w:r>
      <w:r>
        <w:fldChar w:fldCharType="end"/>
      </w:r>
      <w:r>
        <w:t>, 449.</w:t>
      </w:r>
    </w:p>
  </w:footnote>
  <w:footnote w:id="3">
    <w:p w14:paraId="5270E9F4" w14:textId="77777777" w:rsidR="00960F3C" w:rsidRDefault="00960F3C" w:rsidP="005D5158">
      <w:pPr>
        <w:pStyle w:val="Funotentext"/>
      </w:pPr>
      <w:r>
        <w:rPr>
          <w:rStyle w:val="Funotenzeichen"/>
        </w:rPr>
        <w:footnoteRef/>
      </w:r>
      <w:r>
        <w:t xml:space="preserve"> Vgl. </w:t>
      </w:r>
      <w:r>
        <w:fldChar w:fldCharType="begin"/>
      </w:r>
      <w:r>
        <w:instrText xml:space="preserve"> ADDIN EN.CITE &lt;EndNote&gt;&lt;Cite&gt;&lt;Author&gt;Steinacker&lt;/Author&gt;&lt;Year&gt;2006&lt;/Year&gt;&lt;RecNum&gt;937&lt;/RecNum&gt;&lt;DisplayText&gt;Ibid.&lt;/DisplayText&gt;&lt;record&gt;&lt;rec-number&gt;937&lt;/rec-number&gt;&lt;foreign-keys&gt;&lt;key app="EN" db-id="0t0dxv9vetdatmef0a959d9wdwf995aa9dxw"&gt;937&lt;/key&gt;&lt;/foreign-keys&gt;&lt;ref-type name="Edited Book"&gt;28&lt;/ref-type&gt;&lt;contributors&gt;&lt;authors&gt;&lt;author&gt;Wolfgang Huber&lt;/author&gt;&lt;author&gt;Johannes Friedrich&lt;/author&gt;&lt;author&gt;Peter Steinacker&lt;/author&gt;&lt;/authors&gt;&lt;/contributors&gt;&lt;titles&gt;&lt;title&gt;Kirche in der Vielfalt der Lebensbezüge. Die vierte EKD-Erhebung über Kirchenmitgliedschaft&lt;/title&gt;&lt;/titles&gt;&lt;dates&gt;&lt;year&gt;2006&lt;/year&gt;&lt;/dates&gt;&lt;pub-location&gt;Gütersloh&lt;/pub-location&gt;&lt;urls&gt;&lt;/urls&gt;&lt;/record&gt;&lt;/Cite&gt;&lt;/EndNote&gt;</w:instrText>
      </w:r>
      <w:r>
        <w:fldChar w:fldCharType="separate"/>
      </w:r>
      <w:r>
        <w:rPr>
          <w:noProof/>
        </w:rPr>
        <w:t>Ibid.</w:t>
      </w:r>
      <w:r>
        <w:fldChar w:fldCharType="end"/>
      </w:r>
      <w:r>
        <w:t>, 452.</w:t>
      </w:r>
    </w:p>
  </w:footnote>
  <w:footnote w:id="4">
    <w:p w14:paraId="5FAABE7A" w14:textId="77777777" w:rsidR="00960F3C" w:rsidRDefault="00960F3C" w:rsidP="000D640C">
      <w:pPr>
        <w:pStyle w:val="Funotentext"/>
      </w:pPr>
      <w:r>
        <w:rPr>
          <w:rStyle w:val="Funotenzeichen"/>
        </w:rPr>
        <w:footnoteRef/>
      </w:r>
      <w:r>
        <w:t xml:space="preserve"> Vgl. </w:t>
      </w:r>
      <w:r>
        <w:fldChar w:fldCharType="begin"/>
      </w:r>
      <w:r>
        <w:instrText xml:space="preserve"> ADDIN EN.CITE &lt;EndNote&gt;&lt;Cite&gt;&lt;Author&gt;Keller&lt;/Author&gt;&lt;Year&gt;2012&lt;/Year&gt;&lt;RecNum&gt;3023&lt;/RecNum&gt;&lt;DisplayText&gt;Timothy Keller 2012b&lt;/DisplayText&gt;&lt;record&gt;&lt;rec-number&gt;3023&lt;/rec-number&gt;&lt;foreign-keys&gt;&lt;key app="EN" db-id="0t0dxv9vetdatmef0a959d9wdwf995aa9dxw"&gt;3023&lt;/key&gt;&lt;/foreign-keys&gt;&lt;ref-type name="Book"&gt;6&lt;/ref-type&gt;&lt;contributors&gt;&lt;authors&gt;&lt;author&gt;Timothy Keller&lt;/author&gt;&lt;/authors&gt;&lt;/contributors&gt;&lt;titles&gt;&lt;title&gt;Der verschwenderische Gott. Von zwei verlorenen Söhnen und einem liebenden Vater&lt;/title&gt;&lt;/titles&gt;&lt;edition&gt;3. Aufl. &lt;/edition&gt;&lt;dates&gt;&lt;year&gt;2012&lt;/year&gt;&lt;/dates&gt;&lt;pub-location&gt;Basel&lt;/pub-location&gt;&lt;urls&gt;&lt;/urls&gt;&lt;/record&gt;&lt;/Cite&gt;&lt;/EndNote&gt;</w:instrText>
      </w:r>
      <w:r>
        <w:fldChar w:fldCharType="separate"/>
      </w:r>
      <w:r>
        <w:rPr>
          <w:noProof/>
        </w:rPr>
        <w:t>Timothy Keller 2012b</w:t>
      </w:r>
      <w:r>
        <w:fldChar w:fldCharType="end"/>
      </w:r>
      <w:r>
        <w:t>.</w:t>
      </w:r>
    </w:p>
  </w:footnote>
  <w:footnote w:id="5">
    <w:p w14:paraId="2DDA8814" w14:textId="77777777" w:rsidR="00960F3C" w:rsidRDefault="00960F3C" w:rsidP="005D5158">
      <w:pPr>
        <w:pStyle w:val="Funotentext"/>
      </w:pPr>
      <w:r>
        <w:rPr>
          <w:rStyle w:val="Funotenzeichen"/>
        </w:rPr>
        <w:footnoteRef/>
      </w:r>
      <w:r>
        <w:t xml:space="preserve"> </w:t>
      </w:r>
      <w:r>
        <w:fldChar w:fldCharType="begin"/>
      </w:r>
      <w:r>
        <w:instrText xml:space="preserve"> ADDIN EN.CITE &lt;EndNote&gt;&lt;Cite&gt;&lt;Author&gt;Newbigin&lt;/Author&gt;&lt;Year&gt;1989&lt;/Year&gt;&lt;RecNum&gt;2123&lt;/RecNum&gt;&lt;DisplayText&gt;Lesslie Newbigin 1989&lt;/DisplayText&gt;&lt;record&gt;&lt;rec-number&gt;2123&lt;/rec-number&gt;&lt;foreign-keys&gt;&lt;key app="EN" db-id="0t0dxv9vetdatmef0a959d9wdwf995aa9dxw"&gt;2123&lt;/key&gt;&lt;/foreign-keys&gt;&lt;ref-type name="Book"&gt;6&lt;/ref-type&gt;&lt;contributors&gt;&lt;authors&gt;&lt;author&gt;Lesslie Newbigin&lt;/author&gt;&lt;/authors&gt;&lt;/contributors&gt;&lt;titles&gt;&lt;title&gt;The Gospel in a Pluralist Society&lt;/title&gt;&lt;/titles&gt;&lt;dates&gt;&lt;year&gt;1989&lt;/year&gt;&lt;/dates&gt;&lt;pub-location&gt;Grand Rapids&lt;/pub-location&gt;&lt;urls&gt;&lt;/urls&gt;&lt;/record&gt;&lt;/Cite&gt;&lt;/EndNote&gt;</w:instrText>
      </w:r>
      <w:r>
        <w:fldChar w:fldCharType="separate"/>
      </w:r>
      <w:r>
        <w:rPr>
          <w:noProof/>
        </w:rPr>
        <w:t>Lesslie Newbigin 1989</w:t>
      </w:r>
      <w:r>
        <w:fldChar w:fldCharType="end"/>
      </w:r>
      <w:r>
        <w:t>, 38.</w:t>
      </w:r>
    </w:p>
  </w:footnote>
  <w:footnote w:id="6">
    <w:p w14:paraId="33A33617" w14:textId="77777777" w:rsidR="00960F3C" w:rsidRDefault="00960F3C" w:rsidP="005D5158">
      <w:pPr>
        <w:pStyle w:val="Funotentext"/>
      </w:pPr>
      <w:r>
        <w:rPr>
          <w:rStyle w:val="Funotenzeichen"/>
        </w:rPr>
        <w:footnoteRef/>
      </w:r>
      <w:r>
        <w:t xml:space="preserve"> </w:t>
      </w:r>
      <w:r>
        <w:fldChar w:fldCharType="begin"/>
      </w:r>
      <w:r>
        <w:instrText xml:space="preserve"> ADDIN EN.CITE &lt;EndNote&gt;&lt;Cite&gt;&lt;Author&gt;Gilbert&lt;/Author&gt;&lt;Year&gt;2013&lt;/Year&gt;&lt;RecNum&gt;3047&lt;/RecNum&gt;&lt;DisplayText&gt;Cathrin Gilbert, Hans Werner Kilz und Stephan Lebert 2013, &lt;/DisplayText&gt;&lt;record&gt;&lt;rec-number&gt;3047&lt;/rec-number&gt;&lt;foreign-keys&gt;&lt;key app="EN" db-id="0t0dxv9vetdatmef0a959d9wdwf995aa9dxw"&gt;3047&lt;/key&gt;&lt;/foreign-keys&gt;&lt;ref-type name="Journal Article"&gt;17&lt;/ref-type&gt;&lt;contributors&gt;&lt;authors&gt;&lt;author&gt;Cathrin Gilbert&lt;/author&gt;&lt;author&gt;Hans Werner Kilz&lt;/author&gt;&lt;author&gt;Stephan Lebert&lt;/author&gt;&lt;/authors&gt;&lt;/contributors&gt;&lt;titles&gt;&lt;title&gt;Es war der Kick, pures Adrenalin&lt;/title&gt;&lt;secondary-title&gt;DIE ZEIT&lt;/secondary-title&gt;&lt;/titles&gt;&lt;periodical&gt;&lt;full-title&gt;DIE ZEIT&lt;/full-title&gt;&lt;/periodical&gt;&lt;pages&gt;13-16&lt;/pages&gt;&lt;volume&gt;Nr. 19, 2.5.&lt;/volume&gt;&lt;dates&gt;&lt;year&gt;2013&lt;/year&gt;&lt;/dates&gt;&lt;urls&gt;&lt;/urls&gt;&lt;/record&gt;&lt;/Cite&gt;&lt;/EndNote&gt;</w:instrText>
      </w:r>
      <w:r>
        <w:fldChar w:fldCharType="separate"/>
      </w:r>
      <w:r>
        <w:rPr>
          <w:noProof/>
        </w:rPr>
        <w:t xml:space="preserve">Cathrin Gilbert, Hans Werner Kilz und Stephan Lebert 2013, </w:t>
      </w:r>
      <w:r>
        <w:fldChar w:fldCharType="end"/>
      </w:r>
      <w:r>
        <w:t>13-16, Zitate 13.</w:t>
      </w:r>
    </w:p>
  </w:footnote>
  <w:footnote w:id="7">
    <w:p w14:paraId="175EED7F" w14:textId="77777777" w:rsidR="00960F3C" w:rsidRDefault="00960F3C" w:rsidP="005D5158">
      <w:pPr>
        <w:pStyle w:val="Funotentext"/>
      </w:pPr>
      <w:r>
        <w:rPr>
          <w:rStyle w:val="Funotenzeichen"/>
        </w:rPr>
        <w:footnoteRef/>
      </w:r>
      <w:r>
        <w:t xml:space="preserve"> </w:t>
      </w:r>
      <w:r>
        <w:fldChar w:fldCharType="begin"/>
      </w:r>
      <w:r>
        <w:instrText xml:space="preserve"> ADDIN EN.CITE &lt;EndNote&gt;&lt;Cite&gt;&lt;Author&gt;Keller&lt;/Author&gt;&lt;Year&gt;2012&lt;/Year&gt;&lt;RecNum&gt;3024&lt;/RecNum&gt;&lt;DisplayText&gt;Timothy Keller 2012a&lt;/DisplayText&gt;&lt;record&gt;&lt;rec-number&gt;3024&lt;/rec-number&gt;&lt;foreign-keys&gt;&lt;key app="EN" db-id="0t0dxv9vetdatmef0a959d9wdwf995aa9dxw"&gt;3024&lt;/key&gt;&lt;/foreign-keys&gt;&lt;ref-type name="Book"&gt;6&lt;/ref-type&gt;&lt;contributors&gt;&lt;authors&gt;&lt;author&gt;Timothy Keller&lt;/author&gt;&lt;/authors&gt;&lt;/contributors&gt;&lt;titles&gt;&lt;title&gt;Center Church. Doing Balanced Gospel-Centered Ministry in Your City&lt;/title&gt;&lt;/titles&gt;&lt;dates&gt;&lt;year&gt;2012&lt;/year&gt;&lt;/dates&gt;&lt;pub-location&gt;Grand Rapids&lt;/pub-location&gt;&lt;urls&gt;&lt;/urls&gt;&lt;/record&gt;&lt;/Cite&gt;&lt;/EndNote&gt;</w:instrText>
      </w:r>
      <w:r>
        <w:fldChar w:fldCharType="separate"/>
      </w:r>
      <w:r>
        <w:rPr>
          <w:noProof/>
        </w:rPr>
        <w:t>Timothy Keller 2012a</w:t>
      </w:r>
      <w:r>
        <w:fldChar w:fldCharType="end"/>
      </w:r>
      <w:r>
        <w:t>, 50.</w:t>
      </w:r>
    </w:p>
  </w:footnote>
  <w:footnote w:id="8">
    <w:p w14:paraId="0DA50A1D" w14:textId="482106E4" w:rsidR="00960F3C" w:rsidRDefault="00960F3C" w:rsidP="000F4905">
      <w:pPr>
        <w:pStyle w:val="Funotentext"/>
      </w:pPr>
      <w:r>
        <w:rPr>
          <w:rStyle w:val="Funotenzeichen"/>
        </w:rPr>
        <w:footnoteRef/>
      </w:r>
      <w:r>
        <w:t xml:space="preserve"> Vgl. </w:t>
      </w:r>
      <w:r>
        <w:fldChar w:fldCharType="begin"/>
      </w:r>
      <w:r>
        <w:instrText xml:space="preserve"> ADDIN EN.CITE &lt;EndNote&gt;&lt;Cite&gt;&lt;Author&gt;Rössler&lt;/Author&gt;&lt;Year&gt;1986&lt;/Year&gt;&lt;RecNum&gt;834&lt;/RecNum&gt;&lt;DisplayText&gt;Dietrich Rössler 1986&lt;/DisplayText&gt;&lt;record&gt;&lt;rec-number&gt;834&lt;/rec-number&gt;&lt;foreign-keys&gt;&lt;key app="EN" db-id="0t0dxv9vetdatmef0a959d9wdwf995aa9dxw"&gt;834&lt;/key&gt;&lt;/foreign-keys&gt;&lt;ref-type name="Book"&gt;6&lt;/ref-type&gt;&lt;contributors&gt;&lt;authors&gt;&lt;author&gt;Dietrich Rössler&lt;/author&gt;&lt;/authors&gt;&lt;/contributors&gt;&lt;titles&gt;&lt;title&gt;Grundriss der Praktischen Theologie&lt;/title&gt;&lt;/titles&gt;&lt;dates&gt;&lt;year&gt;1986&lt;/year&gt;&lt;/dates&gt;&lt;pub-location&gt;Berlin und New York&lt;/pub-location&gt;&lt;urls&gt;&lt;/urls&gt;&lt;/record&gt;&lt;/Cite&gt;&lt;/EndNote&gt;</w:instrText>
      </w:r>
      <w:r>
        <w:fldChar w:fldCharType="separate"/>
      </w:r>
      <w:r>
        <w:rPr>
          <w:noProof/>
        </w:rPr>
        <w:t>Dietrich Rössler 1986</w:t>
      </w:r>
      <w:r>
        <w:fldChar w:fldCharType="end"/>
      </w:r>
      <w:r>
        <w:t>, 154-197. Zitat: S. 182.</w:t>
      </w:r>
    </w:p>
  </w:footnote>
  <w:footnote w:id="9">
    <w:p w14:paraId="6BA98B52" w14:textId="77777777" w:rsidR="00960F3C" w:rsidRDefault="00960F3C" w:rsidP="005D5158">
      <w:pPr>
        <w:pStyle w:val="Funotentext"/>
      </w:pPr>
      <w:r>
        <w:rPr>
          <w:rStyle w:val="Funotenzeichen"/>
        </w:rPr>
        <w:footnoteRef/>
      </w:r>
      <w:r>
        <w:t xml:space="preserve"> </w:t>
      </w:r>
      <w:r>
        <w:fldChar w:fldCharType="begin"/>
      </w:r>
      <w:r>
        <w:instrText xml:space="preserve"> ADDIN EN.CITE &lt;EndNote&gt;&lt;Cite&gt;&lt;Author&gt;Rössler&lt;/Author&gt;&lt;Year&gt;1986&lt;/Year&gt;&lt;RecNum&gt;834&lt;/RecNum&gt;&lt;DisplayText&gt;Ibid.&lt;/DisplayText&gt;&lt;record&gt;&lt;rec-number&gt;834&lt;/rec-number&gt;&lt;foreign-keys&gt;&lt;key app="EN" db-id="0t0dxv9vetdatmef0a959d9wdwf995aa9dxw"&gt;834&lt;/key&gt;&lt;/foreign-keys&gt;&lt;ref-type name="Book"&gt;6&lt;/ref-type&gt;&lt;contributors&gt;&lt;authors&gt;&lt;author&gt;Dietrich Rössler&lt;/author&gt;&lt;/authors&gt;&lt;/contributors&gt;&lt;titles&gt;&lt;title&gt;Grundriss der Praktischen Theologie&lt;/title&gt;&lt;/titles&gt;&lt;dates&gt;&lt;year&gt;1986&lt;/year&gt;&lt;/dates&gt;&lt;pub-location&gt;Berlin und New York&lt;/pub-location&gt;&lt;urls&gt;&lt;/urls&gt;&lt;/record&gt;&lt;/Cite&gt;&lt;/EndNote&gt;</w:instrText>
      </w:r>
      <w:r>
        <w:fldChar w:fldCharType="separate"/>
      </w:r>
      <w:r>
        <w:rPr>
          <w:noProof/>
        </w:rPr>
        <w:t>Ibid.</w:t>
      </w:r>
      <w:r>
        <w:fldChar w:fldCharType="end"/>
      </w:r>
      <w:r>
        <w:t>, 180.</w:t>
      </w:r>
    </w:p>
  </w:footnote>
  <w:footnote w:id="10">
    <w:p w14:paraId="2A842010" w14:textId="06107DDF" w:rsidR="00960F3C" w:rsidRDefault="00960F3C" w:rsidP="005D5158">
      <w:pPr>
        <w:pStyle w:val="Funotentext"/>
      </w:pPr>
      <w:r>
        <w:rPr>
          <w:rStyle w:val="Funotenzeichen"/>
        </w:rPr>
        <w:footnoteRef/>
      </w:r>
      <w:r>
        <w:t xml:space="preserve"> </w:t>
      </w:r>
      <w:r>
        <w:fldChar w:fldCharType="begin"/>
      </w:r>
      <w:r>
        <w:instrText xml:space="preserve"> ADDIN EN.CITE &lt;EndNote&gt;&lt;Cite&gt;&lt;Author&gt;Winkler&lt;/Author&gt;&lt;Year&gt;1997&lt;/Year&gt;&lt;RecNum&gt;828&lt;/RecNum&gt;&lt;DisplayText&gt;Klaus Winkler 1997&lt;/DisplayText&gt;&lt;record&gt;&lt;rec-number&gt;828&lt;/rec-number&gt;&lt;foreign-keys&gt;&lt;key app="EN" db-id="0t0dxv9vetdatmef0a959d9wdwf995aa9dxw"&gt;828&lt;/key&gt;&lt;/foreign-keys&gt;&lt;ref-type name="Book"&gt;6&lt;/ref-type&gt;&lt;contributors&gt;&lt;authors&gt;&lt;author&gt;Klaus Winkler&lt;/author&gt;&lt;/authors&gt;&lt;/contributors&gt;&lt;titles&gt;&lt;title&gt;Seelsorge&lt;/title&gt;&lt;/titles&gt;&lt;dates&gt;&lt;year&gt;1997&lt;/year&gt;&lt;/dates&gt;&lt;pub-location&gt;Berlin und New York&lt;/pub-location&gt;&lt;publisher&gt;Klaus Winkler: Seelsorge. Berlin und New York 199&lt;/publisher&gt;&lt;urls&gt;&lt;/urls&gt;&lt;/record&gt;&lt;/Cite&gt;&lt;/EndNote&gt;</w:instrText>
      </w:r>
      <w:r>
        <w:fldChar w:fldCharType="separate"/>
      </w:r>
      <w:r>
        <w:rPr>
          <w:noProof/>
        </w:rPr>
        <w:t>Klaus Winkler 1997</w:t>
      </w:r>
      <w:r>
        <w:fldChar w:fldCharType="end"/>
      </w:r>
      <w:r>
        <w:t>, 3.</w:t>
      </w:r>
    </w:p>
  </w:footnote>
  <w:footnote w:id="11">
    <w:p w14:paraId="3677894E" w14:textId="53D030F0" w:rsidR="00960F3C" w:rsidRDefault="00960F3C" w:rsidP="005D5158">
      <w:pPr>
        <w:pStyle w:val="Funotentext"/>
      </w:pPr>
      <w:r>
        <w:rPr>
          <w:rStyle w:val="Funotenzeichen"/>
        </w:rPr>
        <w:footnoteRef/>
      </w:r>
      <w:r>
        <w:t xml:space="preserve"> </w:t>
      </w:r>
      <w:r>
        <w:fldChar w:fldCharType="begin"/>
      </w:r>
      <w:r>
        <w:instrText xml:space="preserve"> ADDIN EN.CITE &lt;EndNote&gt;&lt;Cite&gt;&lt;Author&gt;Morgenthaler&lt;/Author&gt;&lt;Year&gt;2009&lt;/Year&gt;&lt;RecNum&gt;915&lt;/RecNum&gt;&lt;DisplayText&gt;Christoph Morgenthaler 2009&lt;/DisplayText&gt;&lt;record&gt;&lt;rec-number&gt;915&lt;/rec-number&gt;&lt;foreign-keys&gt;&lt;key app="EN" db-id="0t0dxv9vetdatmef0a959d9wdwf995aa9dxw"&gt;915&lt;/key&gt;&lt;/foreign-keys&gt;&lt;ref-type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fldChar w:fldCharType="separate"/>
      </w:r>
      <w:r>
        <w:rPr>
          <w:noProof/>
        </w:rPr>
        <w:t>Christoph Morgenthaler 2009</w:t>
      </w:r>
      <w:r>
        <w:fldChar w:fldCharType="end"/>
      </w:r>
      <w:r>
        <w:t xml:space="preserve">, 22. Vgl. </w:t>
      </w:r>
      <w:r>
        <w:fldChar w:fldCharType="begin"/>
      </w:r>
      <w:r>
        <w:instrText xml:space="preserve"> ADDIN EN.CITE &lt;EndNote&gt;&lt;Cite&gt;&lt;Author&gt;Morgenthaler&lt;/Author&gt;&lt;Year&gt;2009&lt;/Year&gt;&lt;RecNum&gt;915&lt;/RecNum&gt;&lt;DisplayText&gt;Ibid.&lt;/DisplayText&gt;&lt;record&gt;&lt;rec-number&gt;915&lt;/rec-number&gt;&lt;foreign-keys&gt;&lt;key app="EN" db-id="0t0dxv9vetdatmef0a959d9wdwf995aa9dxw"&gt;915&lt;/key&gt;&lt;/foreign-keys&gt;&lt;ref-type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fldChar w:fldCharType="separate"/>
      </w:r>
      <w:r>
        <w:rPr>
          <w:noProof/>
        </w:rPr>
        <w:t>Ibid.</w:t>
      </w:r>
      <w:r>
        <w:fldChar w:fldCharType="end"/>
      </w:r>
      <w:r>
        <w:t>, 22-25.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960F3C" w:rsidRDefault="00960F3C">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960F3C" w:rsidRDefault="00960F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960F3C" w:rsidRDefault="00960F3C"/>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960F3C" w:rsidRPr="00892CF7" w:rsidRDefault="00960F3C">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2BD"/>
    <w:multiLevelType w:val="hybridMultilevel"/>
    <w:tmpl w:val="9886D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7450131"/>
    <w:multiLevelType w:val="hybridMultilevel"/>
    <w:tmpl w:val="B5CE1B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9F1487"/>
    <w:multiLevelType w:val="hybridMultilevel"/>
    <w:tmpl w:val="63A6506C"/>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B336274"/>
    <w:multiLevelType w:val="hybridMultilevel"/>
    <w:tmpl w:val="8B1AE630"/>
    <w:lvl w:ilvl="0" w:tplc="0918242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C1B1C3B"/>
    <w:multiLevelType w:val="multilevel"/>
    <w:tmpl w:val="8AB4841E"/>
    <w:lvl w:ilvl="0">
      <w:start w:val="1"/>
      <w:numFmt w:val="decimal"/>
      <w:pStyle w:val="NummerierteList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E1C077C"/>
    <w:multiLevelType w:val="hybridMultilevel"/>
    <w:tmpl w:val="A9E658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F254111"/>
    <w:multiLevelType w:val="hybridMultilevel"/>
    <w:tmpl w:val="FD0C66E6"/>
    <w:lvl w:ilvl="0" w:tplc="B94E689A">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nsid w:val="163F14C9"/>
    <w:multiLevelType w:val="hybridMultilevel"/>
    <w:tmpl w:val="53A411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7D57433"/>
    <w:multiLevelType w:val="hybridMultilevel"/>
    <w:tmpl w:val="1610E146"/>
    <w:lvl w:ilvl="0" w:tplc="0918242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1D347E6"/>
    <w:multiLevelType w:val="hybridMultilevel"/>
    <w:tmpl w:val="16A64BFC"/>
    <w:lvl w:ilvl="0" w:tplc="80A24AA6">
      <w:start w:val="1"/>
      <w:numFmt w:val="bullet"/>
      <w:lvlText w:val="•"/>
      <w:lvlJc w:val="left"/>
      <w:pPr>
        <w:tabs>
          <w:tab w:val="num" w:pos="720"/>
        </w:tabs>
        <w:ind w:left="720" w:hanging="360"/>
      </w:pPr>
      <w:rPr>
        <w:rFonts w:ascii="Arial" w:hAnsi="Arial" w:hint="default"/>
      </w:rPr>
    </w:lvl>
    <w:lvl w:ilvl="1" w:tplc="3EEC406E" w:tentative="1">
      <w:start w:val="1"/>
      <w:numFmt w:val="bullet"/>
      <w:lvlText w:val="•"/>
      <w:lvlJc w:val="left"/>
      <w:pPr>
        <w:tabs>
          <w:tab w:val="num" w:pos="1440"/>
        </w:tabs>
        <w:ind w:left="1440" w:hanging="360"/>
      </w:pPr>
      <w:rPr>
        <w:rFonts w:ascii="Arial" w:hAnsi="Arial" w:hint="default"/>
      </w:rPr>
    </w:lvl>
    <w:lvl w:ilvl="2" w:tplc="41886702" w:tentative="1">
      <w:start w:val="1"/>
      <w:numFmt w:val="bullet"/>
      <w:lvlText w:val="•"/>
      <w:lvlJc w:val="left"/>
      <w:pPr>
        <w:tabs>
          <w:tab w:val="num" w:pos="2160"/>
        </w:tabs>
        <w:ind w:left="2160" w:hanging="360"/>
      </w:pPr>
      <w:rPr>
        <w:rFonts w:ascii="Arial" w:hAnsi="Arial" w:hint="default"/>
      </w:rPr>
    </w:lvl>
    <w:lvl w:ilvl="3" w:tplc="164A8DA4" w:tentative="1">
      <w:start w:val="1"/>
      <w:numFmt w:val="bullet"/>
      <w:lvlText w:val="•"/>
      <w:lvlJc w:val="left"/>
      <w:pPr>
        <w:tabs>
          <w:tab w:val="num" w:pos="2880"/>
        </w:tabs>
        <w:ind w:left="2880" w:hanging="360"/>
      </w:pPr>
      <w:rPr>
        <w:rFonts w:ascii="Arial" w:hAnsi="Arial" w:hint="default"/>
      </w:rPr>
    </w:lvl>
    <w:lvl w:ilvl="4" w:tplc="40B6F7B2" w:tentative="1">
      <w:start w:val="1"/>
      <w:numFmt w:val="bullet"/>
      <w:lvlText w:val="•"/>
      <w:lvlJc w:val="left"/>
      <w:pPr>
        <w:tabs>
          <w:tab w:val="num" w:pos="3600"/>
        </w:tabs>
        <w:ind w:left="3600" w:hanging="360"/>
      </w:pPr>
      <w:rPr>
        <w:rFonts w:ascii="Arial" w:hAnsi="Arial" w:hint="default"/>
      </w:rPr>
    </w:lvl>
    <w:lvl w:ilvl="5" w:tplc="FD6CE496" w:tentative="1">
      <w:start w:val="1"/>
      <w:numFmt w:val="bullet"/>
      <w:lvlText w:val="•"/>
      <w:lvlJc w:val="left"/>
      <w:pPr>
        <w:tabs>
          <w:tab w:val="num" w:pos="4320"/>
        </w:tabs>
        <w:ind w:left="4320" w:hanging="360"/>
      </w:pPr>
      <w:rPr>
        <w:rFonts w:ascii="Arial" w:hAnsi="Arial" w:hint="default"/>
      </w:rPr>
    </w:lvl>
    <w:lvl w:ilvl="6" w:tplc="E6281536" w:tentative="1">
      <w:start w:val="1"/>
      <w:numFmt w:val="bullet"/>
      <w:lvlText w:val="•"/>
      <w:lvlJc w:val="left"/>
      <w:pPr>
        <w:tabs>
          <w:tab w:val="num" w:pos="5040"/>
        </w:tabs>
        <w:ind w:left="5040" w:hanging="360"/>
      </w:pPr>
      <w:rPr>
        <w:rFonts w:ascii="Arial" w:hAnsi="Arial" w:hint="default"/>
      </w:rPr>
    </w:lvl>
    <w:lvl w:ilvl="7" w:tplc="3D6CE094" w:tentative="1">
      <w:start w:val="1"/>
      <w:numFmt w:val="bullet"/>
      <w:lvlText w:val="•"/>
      <w:lvlJc w:val="left"/>
      <w:pPr>
        <w:tabs>
          <w:tab w:val="num" w:pos="5760"/>
        </w:tabs>
        <w:ind w:left="5760" w:hanging="360"/>
      </w:pPr>
      <w:rPr>
        <w:rFonts w:ascii="Arial" w:hAnsi="Arial" w:hint="default"/>
      </w:rPr>
    </w:lvl>
    <w:lvl w:ilvl="8" w:tplc="3D88E2E4" w:tentative="1">
      <w:start w:val="1"/>
      <w:numFmt w:val="bullet"/>
      <w:lvlText w:val="•"/>
      <w:lvlJc w:val="left"/>
      <w:pPr>
        <w:tabs>
          <w:tab w:val="num" w:pos="6480"/>
        </w:tabs>
        <w:ind w:left="6480" w:hanging="360"/>
      </w:pPr>
      <w:rPr>
        <w:rFonts w:ascii="Arial" w:hAnsi="Arial" w:hint="default"/>
      </w:rPr>
    </w:lvl>
  </w:abstractNum>
  <w:abstractNum w:abstractNumId="10">
    <w:nsid w:val="21D51EC3"/>
    <w:multiLevelType w:val="hybridMultilevel"/>
    <w:tmpl w:val="87EAC4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2135CE8"/>
    <w:multiLevelType w:val="hybridMultilevel"/>
    <w:tmpl w:val="102A7936"/>
    <w:lvl w:ilvl="0" w:tplc="CACCA288">
      <w:start w:val="1"/>
      <w:numFmt w:val="bullet"/>
      <w:lvlText w:val=""/>
      <w:lvlJc w:val="left"/>
      <w:pPr>
        <w:tabs>
          <w:tab w:val="num" w:pos="720"/>
        </w:tabs>
        <w:ind w:left="720" w:hanging="360"/>
      </w:pPr>
      <w:rPr>
        <w:rFonts w:ascii="Wingdings 2" w:hAnsi="Wingdings 2" w:hint="default"/>
        <w:color w:val="000080"/>
        <w:u w:color="00008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2F1C04AF"/>
    <w:multiLevelType w:val="hybridMultilevel"/>
    <w:tmpl w:val="98F2FE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1623712"/>
    <w:multiLevelType w:val="hybridMultilevel"/>
    <w:tmpl w:val="8B1AE630"/>
    <w:lvl w:ilvl="0" w:tplc="0918242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7B255AF"/>
    <w:multiLevelType w:val="multilevel"/>
    <w:tmpl w:val="3A7AC26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7">
    <w:nsid w:val="3B2408F2"/>
    <w:multiLevelType w:val="hybridMultilevel"/>
    <w:tmpl w:val="9938696C"/>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D7F6C7F"/>
    <w:multiLevelType w:val="hybridMultilevel"/>
    <w:tmpl w:val="08D897D4"/>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0734691"/>
    <w:multiLevelType w:val="hybridMultilevel"/>
    <w:tmpl w:val="FA427396"/>
    <w:lvl w:ilvl="0" w:tplc="53D465B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0F416B0"/>
    <w:multiLevelType w:val="hybridMultilevel"/>
    <w:tmpl w:val="070805F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4C0B79B5"/>
    <w:multiLevelType w:val="hybridMultilevel"/>
    <w:tmpl w:val="DBB2CD58"/>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CC42EE8"/>
    <w:multiLevelType w:val="hybridMultilevel"/>
    <w:tmpl w:val="69B6FC5C"/>
    <w:lvl w:ilvl="0" w:tplc="E4263B14">
      <w:start w:val="1"/>
      <w:numFmt w:val="bullet"/>
      <w:lvlText w:val="•"/>
      <w:lvlJc w:val="left"/>
      <w:pPr>
        <w:tabs>
          <w:tab w:val="num" w:pos="720"/>
        </w:tabs>
        <w:ind w:left="720" w:hanging="360"/>
      </w:pPr>
      <w:rPr>
        <w:rFonts w:ascii="Arial" w:hAnsi="Arial" w:hint="default"/>
      </w:rPr>
    </w:lvl>
    <w:lvl w:ilvl="1" w:tplc="FF66AD48" w:tentative="1">
      <w:start w:val="1"/>
      <w:numFmt w:val="bullet"/>
      <w:lvlText w:val="•"/>
      <w:lvlJc w:val="left"/>
      <w:pPr>
        <w:tabs>
          <w:tab w:val="num" w:pos="1440"/>
        </w:tabs>
        <w:ind w:left="1440" w:hanging="360"/>
      </w:pPr>
      <w:rPr>
        <w:rFonts w:ascii="Arial" w:hAnsi="Arial" w:hint="default"/>
      </w:rPr>
    </w:lvl>
    <w:lvl w:ilvl="2" w:tplc="0DDC3614" w:tentative="1">
      <w:start w:val="1"/>
      <w:numFmt w:val="bullet"/>
      <w:lvlText w:val="•"/>
      <w:lvlJc w:val="left"/>
      <w:pPr>
        <w:tabs>
          <w:tab w:val="num" w:pos="2160"/>
        </w:tabs>
        <w:ind w:left="2160" w:hanging="360"/>
      </w:pPr>
      <w:rPr>
        <w:rFonts w:ascii="Arial" w:hAnsi="Arial" w:hint="default"/>
      </w:rPr>
    </w:lvl>
    <w:lvl w:ilvl="3" w:tplc="09AEC1AA" w:tentative="1">
      <w:start w:val="1"/>
      <w:numFmt w:val="bullet"/>
      <w:lvlText w:val="•"/>
      <w:lvlJc w:val="left"/>
      <w:pPr>
        <w:tabs>
          <w:tab w:val="num" w:pos="2880"/>
        </w:tabs>
        <w:ind w:left="2880" w:hanging="360"/>
      </w:pPr>
      <w:rPr>
        <w:rFonts w:ascii="Arial" w:hAnsi="Arial" w:hint="default"/>
      </w:rPr>
    </w:lvl>
    <w:lvl w:ilvl="4" w:tplc="20581102" w:tentative="1">
      <w:start w:val="1"/>
      <w:numFmt w:val="bullet"/>
      <w:lvlText w:val="•"/>
      <w:lvlJc w:val="left"/>
      <w:pPr>
        <w:tabs>
          <w:tab w:val="num" w:pos="3600"/>
        </w:tabs>
        <w:ind w:left="3600" w:hanging="360"/>
      </w:pPr>
      <w:rPr>
        <w:rFonts w:ascii="Arial" w:hAnsi="Arial" w:hint="default"/>
      </w:rPr>
    </w:lvl>
    <w:lvl w:ilvl="5" w:tplc="F3640566" w:tentative="1">
      <w:start w:val="1"/>
      <w:numFmt w:val="bullet"/>
      <w:lvlText w:val="•"/>
      <w:lvlJc w:val="left"/>
      <w:pPr>
        <w:tabs>
          <w:tab w:val="num" w:pos="4320"/>
        </w:tabs>
        <w:ind w:left="4320" w:hanging="360"/>
      </w:pPr>
      <w:rPr>
        <w:rFonts w:ascii="Arial" w:hAnsi="Arial" w:hint="default"/>
      </w:rPr>
    </w:lvl>
    <w:lvl w:ilvl="6" w:tplc="67AE0310" w:tentative="1">
      <w:start w:val="1"/>
      <w:numFmt w:val="bullet"/>
      <w:lvlText w:val="•"/>
      <w:lvlJc w:val="left"/>
      <w:pPr>
        <w:tabs>
          <w:tab w:val="num" w:pos="5040"/>
        </w:tabs>
        <w:ind w:left="5040" w:hanging="360"/>
      </w:pPr>
      <w:rPr>
        <w:rFonts w:ascii="Arial" w:hAnsi="Arial" w:hint="default"/>
      </w:rPr>
    </w:lvl>
    <w:lvl w:ilvl="7" w:tplc="F59AD4B8" w:tentative="1">
      <w:start w:val="1"/>
      <w:numFmt w:val="bullet"/>
      <w:lvlText w:val="•"/>
      <w:lvlJc w:val="left"/>
      <w:pPr>
        <w:tabs>
          <w:tab w:val="num" w:pos="5760"/>
        </w:tabs>
        <w:ind w:left="5760" w:hanging="360"/>
      </w:pPr>
      <w:rPr>
        <w:rFonts w:ascii="Arial" w:hAnsi="Arial" w:hint="default"/>
      </w:rPr>
    </w:lvl>
    <w:lvl w:ilvl="8" w:tplc="56A2E6C8" w:tentative="1">
      <w:start w:val="1"/>
      <w:numFmt w:val="bullet"/>
      <w:lvlText w:val="•"/>
      <w:lvlJc w:val="left"/>
      <w:pPr>
        <w:tabs>
          <w:tab w:val="num" w:pos="6480"/>
        </w:tabs>
        <w:ind w:left="6480" w:hanging="360"/>
      </w:pPr>
      <w:rPr>
        <w:rFonts w:ascii="Arial" w:hAnsi="Arial" w:hint="default"/>
      </w:rPr>
    </w:lvl>
  </w:abstractNum>
  <w:abstractNum w:abstractNumId="23">
    <w:nsid w:val="4EF5625E"/>
    <w:multiLevelType w:val="hybridMultilevel"/>
    <w:tmpl w:val="E6EEFFCA"/>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6327285"/>
    <w:multiLevelType w:val="hybridMultilevel"/>
    <w:tmpl w:val="5C9669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7604374"/>
    <w:multiLevelType w:val="hybridMultilevel"/>
    <w:tmpl w:val="87EAC4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8161408"/>
    <w:multiLevelType w:val="hybridMultilevel"/>
    <w:tmpl w:val="7982147C"/>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5AD01744"/>
    <w:multiLevelType w:val="hybridMultilevel"/>
    <w:tmpl w:val="87EAC4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CE750B3"/>
    <w:multiLevelType w:val="hybridMultilevel"/>
    <w:tmpl w:val="3998CCE4"/>
    <w:lvl w:ilvl="0" w:tplc="EADA3AB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2910E18"/>
    <w:multiLevelType w:val="multilevel"/>
    <w:tmpl w:val="6AD4AA8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1">
    <w:nsid w:val="685D7BE8"/>
    <w:multiLevelType w:val="hybridMultilevel"/>
    <w:tmpl w:val="7E7E0BC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6C3339C8"/>
    <w:multiLevelType w:val="hybridMultilevel"/>
    <w:tmpl w:val="87EAC4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F172259"/>
    <w:multiLevelType w:val="hybridMultilevel"/>
    <w:tmpl w:val="D284C414"/>
    <w:lvl w:ilvl="0" w:tplc="9A88CAE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2EB7F93"/>
    <w:multiLevelType w:val="hybridMultilevel"/>
    <w:tmpl w:val="10C4745E"/>
    <w:lvl w:ilvl="0" w:tplc="CACCA288">
      <w:start w:val="1"/>
      <w:numFmt w:val="bullet"/>
      <w:pStyle w:val="Aufzhlungs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35">
    <w:nsid w:val="78262EF9"/>
    <w:multiLevelType w:val="hybridMultilevel"/>
    <w:tmpl w:val="8BA24A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7FAB078F"/>
    <w:multiLevelType w:val="hybridMultilevel"/>
    <w:tmpl w:val="3A7AC26C"/>
    <w:lvl w:ilvl="0" w:tplc="D23CDE3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6"/>
  </w:num>
  <w:num w:numId="3">
    <w:abstractNumId w:val="34"/>
  </w:num>
  <w:num w:numId="4">
    <w:abstractNumId w:val="19"/>
  </w:num>
  <w:num w:numId="5">
    <w:abstractNumId w:val="12"/>
  </w:num>
  <w:num w:numId="6">
    <w:abstractNumId w:val="27"/>
  </w:num>
  <w:num w:numId="7">
    <w:abstractNumId w:val="35"/>
  </w:num>
  <w:num w:numId="8">
    <w:abstractNumId w:val="31"/>
  </w:num>
  <w:num w:numId="9">
    <w:abstractNumId w:val="24"/>
  </w:num>
  <w:num w:numId="10">
    <w:abstractNumId w:val="26"/>
  </w:num>
  <w:num w:numId="11">
    <w:abstractNumId w:val="21"/>
  </w:num>
  <w:num w:numId="12">
    <w:abstractNumId w:val="2"/>
  </w:num>
  <w:num w:numId="13">
    <w:abstractNumId w:val="18"/>
  </w:num>
  <w:num w:numId="14">
    <w:abstractNumId w:val="23"/>
  </w:num>
  <w:num w:numId="15">
    <w:abstractNumId w:val="17"/>
  </w:num>
  <w:num w:numId="16">
    <w:abstractNumId w:val="7"/>
  </w:num>
  <w:num w:numId="17">
    <w:abstractNumId w:val="1"/>
  </w:num>
  <w:num w:numId="18">
    <w:abstractNumId w:val="10"/>
  </w:num>
  <w:num w:numId="19">
    <w:abstractNumId w:val="25"/>
  </w:num>
  <w:num w:numId="20">
    <w:abstractNumId w:val="32"/>
  </w:num>
  <w:num w:numId="21">
    <w:abstractNumId w:val="28"/>
  </w:num>
  <w:num w:numId="22">
    <w:abstractNumId w:val="5"/>
  </w:num>
  <w:num w:numId="23">
    <w:abstractNumId w:val="11"/>
  </w:num>
  <w:num w:numId="24">
    <w:abstractNumId w:val="13"/>
  </w:num>
  <w:num w:numId="25">
    <w:abstractNumId w:val="36"/>
  </w:num>
  <w:num w:numId="26">
    <w:abstractNumId w:val="15"/>
  </w:num>
  <w:num w:numId="27">
    <w:abstractNumId w:val="33"/>
  </w:num>
  <w:num w:numId="28">
    <w:abstractNumId w:val="3"/>
  </w:num>
  <w:num w:numId="29">
    <w:abstractNumId w:val="14"/>
  </w:num>
  <w:num w:numId="30">
    <w:abstractNumId w:val="8"/>
  </w:num>
  <w:num w:numId="31">
    <w:abstractNumId w:val="0"/>
  </w:num>
  <w:num w:numId="32">
    <w:abstractNumId w:val="9"/>
  </w:num>
  <w:num w:numId="33">
    <w:abstractNumId w:val="22"/>
  </w:num>
  <w:num w:numId="34">
    <w:abstractNumId w:val="30"/>
  </w:num>
  <w:num w:numId="35">
    <w:abstractNumId w:val="4"/>
  </w:num>
  <w:num w:numId="36">
    <w:abstractNumId w:val="29"/>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老Ԫ⚳⍰᐀Ȱે耂Ԫ♔ᄦᐐɀે考Ԫ☤ᄦᐐǰે耄Ԫ◹ᄦᐐȀે者Ԫ◌ᄦᐐȐે耈Ԫ▜ᄦᐐȠેࠀԿ⍰᐀ࠉԿ⍰᐀ࠇԿL⍰᐀倊ୣบ᐀ Ǡે_x000a_q˕VĘ ꧑ꜜ涚က妙嶚։Ŕ⍰еKࠀԿ ＀＀qq涚涚qӹ˕HĐ ꧑洕펣1妙쫃։㹉⍰ͽL¢ࠀԿ‖７＀q涚涚qq˕ЩĐ怀꧑꧑＜涚涚妚ꯡ)։։⍰㐗᧛⍽耀ԝ ＀＀qq涚涚˄⍰ !&quot;qҚ˕Đ怀꧑餣涚᥻.妚։㦠⍰ĥࠤԿ က%＀＀&amp;'()qұ˕5Đ怀꧑Ｊﻹ涚ϛ/妚མ։㫅⍰ʓቾᩋ+ Կ ,＀＀q-q涚涚˄⍰./0ꑔο1꒤οꑰο2ꒌο꒨ο3ꔄο꓄οӝ%妚훘꓈οꐴο涚%妚훘ꓤοꓼο涚늍&amp;妚혵ꔀοꔘο涚妚궰ꔜοꔴο洶㜕)妚ධꔸοꕐο涚䓅+妚㜒7ꕔοꕬο涚篗,妚훘ꕰοꖈο涚券-妚훘ꖌοꖤο涚⦇.妚훘ꔹοꗀο涚_/妚훘ꗄοꗜο涚휷/夺훘ꗸο涚涚妚쐇ꗼο꘻ο涚ㆡ妚궈ꘘο꘰ο涚妚꘴οꙌο涚혻妚霒ꙐοꙨο涚浍"/>
  </w:docVars>
  <w:rsids>
    <w:rsidRoot w:val="000A408C"/>
    <w:rsid w:val="00001311"/>
    <w:rsid w:val="00001E30"/>
    <w:rsid w:val="00005F0F"/>
    <w:rsid w:val="00011A6A"/>
    <w:rsid w:val="000174BB"/>
    <w:rsid w:val="00021000"/>
    <w:rsid w:val="0004607D"/>
    <w:rsid w:val="00046B2F"/>
    <w:rsid w:val="00056B11"/>
    <w:rsid w:val="00064F9B"/>
    <w:rsid w:val="0007528F"/>
    <w:rsid w:val="00076AFD"/>
    <w:rsid w:val="00096138"/>
    <w:rsid w:val="0009659E"/>
    <w:rsid w:val="000A408C"/>
    <w:rsid w:val="000A4A29"/>
    <w:rsid w:val="000B517F"/>
    <w:rsid w:val="000B7455"/>
    <w:rsid w:val="000C1D0A"/>
    <w:rsid w:val="000C3FD1"/>
    <w:rsid w:val="000C7C21"/>
    <w:rsid w:val="000D0520"/>
    <w:rsid w:val="000D11E1"/>
    <w:rsid w:val="000D555D"/>
    <w:rsid w:val="000D640C"/>
    <w:rsid w:val="000D6D0F"/>
    <w:rsid w:val="000E1312"/>
    <w:rsid w:val="000E48CD"/>
    <w:rsid w:val="000E4B82"/>
    <w:rsid w:val="000E64DB"/>
    <w:rsid w:val="000F1895"/>
    <w:rsid w:val="000F4905"/>
    <w:rsid w:val="000F676F"/>
    <w:rsid w:val="0012149E"/>
    <w:rsid w:val="00133644"/>
    <w:rsid w:val="00135007"/>
    <w:rsid w:val="0013541C"/>
    <w:rsid w:val="00136D73"/>
    <w:rsid w:val="00140FE3"/>
    <w:rsid w:val="00143DFA"/>
    <w:rsid w:val="0018135B"/>
    <w:rsid w:val="00182B18"/>
    <w:rsid w:val="001842C7"/>
    <w:rsid w:val="00184C11"/>
    <w:rsid w:val="00187683"/>
    <w:rsid w:val="001925A1"/>
    <w:rsid w:val="001973E9"/>
    <w:rsid w:val="001A1B7F"/>
    <w:rsid w:val="001A6B13"/>
    <w:rsid w:val="001B4BF6"/>
    <w:rsid w:val="001B58E0"/>
    <w:rsid w:val="001C69FD"/>
    <w:rsid w:val="001D38AA"/>
    <w:rsid w:val="001E3C91"/>
    <w:rsid w:val="001E6BF7"/>
    <w:rsid w:val="001E7F0F"/>
    <w:rsid w:val="001F7FD9"/>
    <w:rsid w:val="00204651"/>
    <w:rsid w:val="00212A86"/>
    <w:rsid w:val="002273F2"/>
    <w:rsid w:val="00246B16"/>
    <w:rsid w:val="002522E9"/>
    <w:rsid w:val="00256EAE"/>
    <w:rsid w:val="002576E6"/>
    <w:rsid w:val="00280941"/>
    <w:rsid w:val="00281C86"/>
    <w:rsid w:val="00291DDA"/>
    <w:rsid w:val="002B0331"/>
    <w:rsid w:val="002B773C"/>
    <w:rsid w:val="002D5001"/>
    <w:rsid w:val="002E1A47"/>
    <w:rsid w:val="003022DD"/>
    <w:rsid w:val="0030459A"/>
    <w:rsid w:val="00320749"/>
    <w:rsid w:val="00327981"/>
    <w:rsid w:val="00327BD7"/>
    <w:rsid w:val="003344E8"/>
    <w:rsid w:val="003423F8"/>
    <w:rsid w:val="0034392A"/>
    <w:rsid w:val="00364917"/>
    <w:rsid w:val="00370F14"/>
    <w:rsid w:val="00383832"/>
    <w:rsid w:val="003975FB"/>
    <w:rsid w:val="003B0E4E"/>
    <w:rsid w:val="003D423D"/>
    <w:rsid w:val="003E2FED"/>
    <w:rsid w:val="003E38B9"/>
    <w:rsid w:val="003F4DF3"/>
    <w:rsid w:val="004078C5"/>
    <w:rsid w:val="004213F2"/>
    <w:rsid w:val="00435235"/>
    <w:rsid w:val="00454375"/>
    <w:rsid w:val="004619F1"/>
    <w:rsid w:val="00491E6C"/>
    <w:rsid w:val="004A2B42"/>
    <w:rsid w:val="004B17F4"/>
    <w:rsid w:val="004C135E"/>
    <w:rsid w:val="004D08BE"/>
    <w:rsid w:val="004D19CA"/>
    <w:rsid w:val="004E7896"/>
    <w:rsid w:val="004F1E50"/>
    <w:rsid w:val="00500B5C"/>
    <w:rsid w:val="00506A09"/>
    <w:rsid w:val="00511811"/>
    <w:rsid w:val="00522311"/>
    <w:rsid w:val="00534574"/>
    <w:rsid w:val="0053707B"/>
    <w:rsid w:val="00554CB5"/>
    <w:rsid w:val="00567CCC"/>
    <w:rsid w:val="00572D89"/>
    <w:rsid w:val="00574FDF"/>
    <w:rsid w:val="00582993"/>
    <w:rsid w:val="0058372D"/>
    <w:rsid w:val="005870D7"/>
    <w:rsid w:val="00591713"/>
    <w:rsid w:val="005A16CF"/>
    <w:rsid w:val="005B6187"/>
    <w:rsid w:val="005C0A19"/>
    <w:rsid w:val="005D3E1B"/>
    <w:rsid w:val="005D5158"/>
    <w:rsid w:val="005D5F62"/>
    <w:rsid w:val="005E68B4"/>
    <w:rsid w:val="005F1FE5"/>
    <w:rsid w:val="005F591A"/>
    <w:rsid w:val="0061636B"/>
    <w:rsid w:val="00616E92"/>
    <w:rsid w:val="006333F3"/>
    <w:rsid w:val="00643633"/>
    <w:rsid w:val="0064710B"/>
    <w:rsid w:val="00654C4C"/>
    <w:rsid w:val="006719B9"/>
    <w:rsid w:val="00695099"/>
    <w:rsid w:val="00695C6F"/>
    <w:rsid w:val="006A46AE"/>
    <w:rsid w:val="006B09CD"/>
    <w:rsid w:val="006D386C"/>
    <w:rsid w:val="006D5843"/>
    <w:rsid w:val="006D61FD"/>
    <w:rsid w:val="006D7579"/>
    <w:rsid w:val="006E41A4"/>
    <w:rsid w:val="006F3DCC"/>
    <w:rsid w:val="006F550A"/>
    <w:rsid w:val="007019E0"/>
    <w:rsid w:val="00710E26"/>
    <w:rsid w:val="007177F4"/>
    <w:rsid w:val="00721580"/>
    <w:rsid w:val="00725BFC"/>
    <w:rsid w:val="00734A9A"/>
    <w:rsid w:val="00780BE5"/>
    <w:rsid w:val="00781091"/>
    <w:rsid w:val="007A048B"/>
    <w:rsid w:val="007B2961"/>
    <w:rsid w:val="007D163A"/>
    <w:rsid w:val="007D1BCB"/>
    <w:rsid w:val="007D352D"/>
    <w:rsid w:val="007E3D60"/>
    <w:rsid w:val="007F690C"/>
    <w:rsid w:val="007F7C15"/>
    <w:rsid w:val="00813814"/>
    <w:rsid w:val="0083053A"/>
    <w:rsid w:val="008305E9"/>
    <w:rsid w:val="0083071F"/>
    <w:rsid w:val="00844AB1"/>
    <w:rsid w:val="00856EE3"/>
    <w:rsid w:val="00867F6C"/>
    <w:rsid w:val="008701F3"/>
    <w:rsid w:val="00891081"/>
    <w:rsid w:val="008A6BD7"/>
    <w:rsid w:val="008B04E4"/>
    <w:rsid w:val="008D7468"/>
    <w:rsid w:val="008D7ADC"/>
    <w:rsid w:val="008E20E3"/>
    <w:rsid w:val="008E735F"/>
    <w:rsid w:val="008F49D4"/>
    <w:rsid w:val="008F7AF1"/>
    <w:rsid w:val="009108DA"/>
    <w:rsid w:val="009138F7"/>
    <w:rsid w:val="0091430E"/>
    <w:rsid w:val="00934BEB"/>
    <w:rsid w:val="009370BE"/>
    <w:rsid w:val="00960F3C"/>
    <w:rsid w:val="00973A14"/>
    <w:rsid w:val="00991599"/>
    <w:rsid w:val="009929ED"/>
    <w:rsid w:val="009A538A"/>
    <w:rsid w:val="009A793A"/>
    <w:rsid w:val="009B0929"/>
    <w:rsid w:val="009B1868"/>
    <w:rsid w:val="009B3918"/>
    <w:rsid w:val="009C01D5"/>
    <w:rsid w:val="009C31EA"/>
    <w:rsid w:val="009C7EB5"/>
    <w:rsid w:val="009D1473"/>
    <w:rsid w:val="009D26D0"/>
    <w:rsid w:val="009D302B"/>
    <w:rsid w:val="009D5192"/>
    <w:rsid w:val="009D53C9"/>
    <w:rsid w:val="009E098D"/>
    <w:rsid w:val="009E657E"/>
    <w:rsid w:val="009F7E8A"/>
    <w:rsid w:val="00A10245"/>
    <w:rsid w:val="00A13D72"/>
    <w:rsid w:val="00A20AF7"/>
    <w:rsid w:val="00A31325"/>
    <w:rsid w:val="00A7411D"/>
    <w:rsid w:val="00A91DE9"/>
    <w:rsid w:val="00AA57F1"/>
    <w:rsid w:val="00AB45D2"/>
    <w:rsid w:val="00AB6A7C"/>
    <w:rsid w:val="00AC47E9"/>
    <w:rsid w:val="00AC5260"/>
    <w:rsid w:val="00AD161A"/>
    <w:rsid w:val="00AD412D"/>
    <w:rsid w:val="00AD42E9"/>
    <w:rsid w:val="00AE6EA8"/>
    <w:rsid w:val="00B1171A"/>
    <w:rsid w:val="00B1350C"/>
    <w:rsid w:val="00B14435"/>
    <w:rsid w:val="00B34B3C"/>
    <w:rsid w:val="00B468D8"/>
    <w:rsid w:val="00B50B9B"/>
    <w:rsid w:val="00B56CB1"/>
    <w:rsid w:val="00B631DB"/>
    <w:rsid w:val="00B70834"/>
    <w:rsid w:val="00B743BE"/>
    <w:rsid w:val="00B85770"/>
    <w:rsid w:val="00B87CCF"/>
    <w:rsid w:val="00BC002F"/>
    <w:rsid w:val="00BD4D1A"/>
    <w:rsid w:val="00BD5B95"/>
    <w:rsid w:val="00BF617C"/>
    <w:rsid w:val="00C02644"/>
    <w:rsid w:val="00C03592"/>
    <w:rsid w:val="00C0409B"/>
    <w:rsid w:val="00C06426"/>
    <w:rsid w:val="00C2550A"/>
    <w:rsid w:val="00C31256"/>
    <w:rsid w:val="00C44E23"/>
    <w:rsid w:val="00C45382"/>
    <w:rsid w:val="00C469C0"/>
    <w:rsid w:val="00C52903"/>
    <w:rsid w:val="00C65293"/>
    <w:rsid w:val="00C86A4A"/>
    <w:rsid w:val="00C9529B"/>
    <w:rsid w:val="00CA00D6"/>
    <w:rsid w:val="00CA4F77"/>
    <w:rsid w:val="00CB1C89"/>
    <w:rsid w:val="00CB2CC5"/>
    <w:rsid w:val="00CC06C5"/>
    <w:rsid w:val="00CC5CBF"/>
    <w:rsid w:val="00CD042B"/>
    <w:rsid w:val="00CD30A5"/>
    <w:rsid w:val="00CD7B59"/>
    <w:rsid w:val="00CE0286"/>
    <w:rsid w:val="00CF0B56"/>
    <w:rsid w:val="00CF25A3"/>
    <w:rsid w:val="00D11581"/>
    <w:rsid w:val="00D16BB6"/>
    <w:rsid w:val="00D23D90"/>
    <w:rsid w:val="00D45723"/>
    <w:rsid w:val="00D46F68"/>
    <w:rsid w:val="00D55F63"/>
    <w:rsid w:val="00D66170"/>
    <w:rsid w:val="00D7129F"/>
    <w:rsid w:val="00DA45F8"/>
    <w:rsid w:val="00DA6396"/>
    <w:rsid w:val="00DB4B45"/>
    <w:rsid w:val="00DC0402"/>
    <w:rsid w:val="00DD08EE"/>
    <w:rsid w:val="00DD10E8"/>
    <w:rsid w:val="00DE21A8"/>
    <w:rsid w:val="00DE5C73"/>
    <w:rsid w:val="00DE5DE5"/>
    <w:rsid w:val="00DF4051"/>
    <w:rsid w:val="00DF4D94"/>
    <w:rsid w:val="00DF5A6E"/>
    <w:rsid w:val="00E01129"/>
    <w:rsid w:val="00E15A3E"/>
    <w:rsid w:val="00E16C01"/>
    <w:rsid w:val="00E21C60"/>
    <w:rsid w:val="00E63F84"/>
    <w:rsid w:val="00E65581"/>
    <w:rsid w:val="00E66A61"/>
    <w:rsid w:val="00E7277D"/>
    <w:rsid w:val="00E815E9"/>
    <w:rsid w:val="00E83E6D"/>
    <w:rsid w:val="00E87938"/>
    <w:rsid w:val="00E97EA4"/>
    <w:rsid w:val="00EA42DB"/>
    <w:rsid w:val="00EA61CF"/>
    <w:rsid w:val="00EA753F"/>
    <w:rsid w:val="00EA7DC0"/>
    <w:rsid w:val="00EB44EE"/>
    <w:rsid w:val="00EB55C3"/>
    <w:rsid w:val="00EB636E"/>
    <w:rsid w:val="00ED2A01"/>
    <w:rsid w:val="00ED5E87"/>
    <w:rsid w:val="00ED6ABE"/>
    <w:rsid w:val="00ED6E7D"/>
    <w:rsid w:val="00EE021E"/>
    <w:rsid w:val="00EE3027"/>
    <w:rsid w:val="00EE6F42"/>
    <w:rsid w:val="00EF7A58"/>
    <w:rsid w:val="00F05C7E"/>
    <w:rsid w:val="00F1025A"/>
    <w:rsid w:val="00F36543"/>
    <w:rsid w:val="00F436A9"/>
    <w:rsid w:val="00F46292"/>
    <w:rsid w:val="00F532E1"/>
    <w:rsid w:val="00F71AAF"/>
    <w:rsid w:val="00F76F21"/>
    <w:rsid w:val="00F8097C"/>
    <w:rsid w:val="00F87C17"/>
    <w:rsid w:val="00FA30E6"/>
    <w:rsid w:val="00FA4558"/>
    <w:rsid w:val="00FA5CC6"/>
    <w:rsid w:val="00FA7D33"/>
    <w:rsid w:val="00FB7252"/>
    <w:rsid w:val="00FD0FD7"/>
    <w:rsid w:val="00FD122C"/>
    <w:rsid w:val="00FD4C13"/>
    <w:rsid w:val="00FD5F39"/>
    <w:rsid w:val="00FD7E9E"/>
    <w:rsid w:val="00FE0E27"/>
    <w:rsid w:val="00FE1660"/>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lsdException w:name="heading 7" w:uiPriority="99"/>
    <w:lsdException w:name="heading 8" w:uiPriority="9"/>
    <w:lsdException w:name="heading 9" w:uiPriority="9" w:qFormat="1"/>
    <w:lsdException w:name="List Paragraph" w:uiPriority="9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uiPriority w:val="9"/>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uiPriority w:val="9"/>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uiPriority w:val="99"/>
    <w:semiHidden/>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uiPriority w:val="99"/>
    <w:semiHidden/>
    <w:rsid w:val="0086577B"/>
    <w:rPr>
      <w:rFonts w:ascii="Tahoma" w:hAnsi="Tahoma" w:cs="Tahoma"/>
      <w:sz w:val="16"/>
      <w:szCs w:val="16"/>
    </w:rPr>
  </w:style>
  <w:style w:type="character" w:customStyle="1" w:styleId="SprechblasentextZeichen">
    <w:name w:val="Sprechblasentext Zeichen"/>
    <w:basedOn w:val="Absatzstandardschriftart"/>
    <w:uiPriority w:val="99"/>
    <w:semiHidden/>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99"/>
    <w:qFormat/>
    <w:rsid w:val="00355BDC"/>
    <w:pPr>
      <w:ind w:left="720"/>
      <w:contextualSpacing/>
    </w:pPr>
  </w:style>
  <w:style w:type="table" w:styleId="Tabellenraster">
    <w:name w:val="Table Grid"/>
    <w:basedOn w:val="NormaleTabelle"/>
    <w:uiPriority w:val="9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basedOn w:val="Standard"/>
    <w:link w:val="FunotentextZeichen"/>
    <w:semiHidd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basedOn w:val="Absatzstandardschriftart"/>
    <w:link w:val="Funotentext"/>
    <w:semiHidden/>
    <w:rsid w:val="00187683"/>
    <w:rPr>
      <w:rFonts w:asciiTheme="minorHAnsi" w:eastAsia="Times New Roman" w:hAnsiTheme="minorHAnsi" w:cs="Modern No. 20"/>
      <w:sz w:val="20"/>
      <w:szCs w:val="24"/>
      <w:lang w:eastAsia="en-US"/>
    </w:rPr>
  </w:style>
  <w:style w:type="character" w:styleId="Funotenzeichen">
    <w:name w:val="footnote reference"/>
    <w:basedOn w:val="Absatzstandardschriftart"/>
    <w:semiHidden/>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rsid w:val="000D11E1"/>
    <w:pPr>
      <w:numPr>
        <w:numId w:val="3"/>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4"/>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semiHidden/>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semiHidden/>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semiHidd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35"/>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lsdException w:name="heading 7" w:uiPriority="99"/>
    <w:lsdException w:name="heading 8" w:uiPriority="9"/>
    <w:lsdException w:name="heading 9" w:uiPriority="9" w:qFormat="1"/>
    <w:lsdException w:name="List Paragraph" w:uiPriority="9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uiPriority w:val="9"/>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uiPriority w:val="9"/>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uiPriority w:val="99"/>
    <w:semiHidden/>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uiPriority w:val="99"/>
    <w:semiHidden/>
    <w:rsid w:val="0086577B"/>
    <w:rPr>
      <w:rFonts w:ascii="Tahoma" w:hAnsi="Tahoma" w:cs="Tahoma"/>
      <w:sz w:val="16"/>
      <w:szCs w:val="16"/>
    </w:rPr>
  </w:style>
  <w:style w:type="character" w:customStyle="1" w:styleId="SprechblasentextZeichen">
    <w:name w:val="Sprechblasentext Zeichen"/>
    <w:basedOn w:val="Absatzstandardschriftart"/>
    <w:uiPriority w:val="99"/>
    <w:semiHidden/>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99"/>
    <w:qFormat/>
    <w:rsid w:val="00355BDC"/>
    <w:pPr>
      <w:ind w:left="720"/>
      <w:contextualSpacing/>
    </w:pPr>
  </w:style>
  <w:style w:type="table" w:styleId="Tabellenraster">
    <w:name w:val="Table Grid"/>
    <w:basedOn w:val="NormaleTabelle"/>
    <w:uiPriority w:val="9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basedOn w:val="Standard"/>
    <w:link w:val="FunotentextZeichen"/>
    <w:semiHidd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basedOn w:val="Absatzstandardschriftart"/>
    <w:link w:val="Funotentext"/>
    <w:semiHidden/>
    <w:rsid w:val="00187683"/>
    <w:rPr>
      <w:rFonts w:asciiTheme="minorHAnsi" w:eastAsia="Times New Roman" w:hAnsiTheme="minorHAnsi" w:cs="Modern No. 20"/>
      <w:sz w:val="20"/>
      <w:szCs w:val="24"/>
      <w:lang w:eastAsia="en-US"/>
    </w:rPr>
  </w:style>
  <w:style w:type="character" w:styleId="Funotenzeichen">
    <w:name w:val="footnote reference"/>
    <w:basedOn w:val="Absatzstandardschriftart"/>
    <w:semiHidden/>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rsid w:val="000D11E1"/>
    <w:pPr>
      <w:numPr>
        <w:numId w:val="3"/>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4"/>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semiHidden/>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semiHidden/>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semiHidd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35"/>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jp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760</Words>
  <Characters>4795</Characters>
  <Application>Microsoft Macintosh Word</Application>
  <DocSecurity>0</DocSecurity>
  <Lines>39</Lines>
  <Paragraphs>11</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5544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32</cp:revision>
  <cp:lastPrinted>2010-01-08T13:27:00Z</cp:lastPrinted>
  <dcterms:created xsi:type="dcterms:W3CDTF">2013-10-17T09:40:00Z</dcterms:created>
  <dcterms:modified xsi:type="dcterms:W3CDTF">2013-10-17T10:46:00Z</dcterms:modified>
</cp:coreProperties>
</file>