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35882329" w:rsidR="000D11E1" w:rsidRPr="00CF0B56" w:rsidRDefault="0096549F" w:rsidP="000D11E1">
      <w:pPr>
        <w:spacing w:after="120" w:line="240" w:lineRule="auto"/>
        <w:rPr>
          <w:rFonts w:asciiTheme="minorHAnsi" w:hAnsiTheme="minorHAnsi"/>
          <w:sz w:val="32"/>
          <w:szCs w:val="48"/>
        </w:rPr>
      </w:pPr>
      <w:r>
        <w:rPr>
          <w:rFonts w:asciiTheme="minorHAnsi" w:hAnsiTheme="minorHAnsi"/>
          <w:sz w:val="32"/>
          <w:szCs w:val="48"/>
        </w:rPr>
        <w:t>Arbeitsblatt 3</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6AD6AF73" w:rsidR="00EA61CF" w:rsidRPr="005B6187" w:rsidRDefault="0096549F" w:rsidP="000D11E1">
      <w:pPr>
        <w:jc w:val="right"/>
        <w:rPr>
          <w:rFonts w:asciiTheme="minorHAnsi" w:hAnsiTheme="minorHAnsi"/>
          <w:sz w:val="28"/>
          <w:szCs w:val="28"/>
        </w:rPr>
      </w:pPr>
      <w:r>
        <w:rPr>
          <w:rFonts w:asciiTheme="minorHAnsi" w:hAnsiTheme="minorHAnsi"/>
          <w:sz w:val="28"/>
          <w:szCs w:val="28"/>
        </w:rPr>
        <w:t>Prof. Dr. Michael Herbst, 25</w:t>
      </w:r>
      <w:r w:rsidR="003E38B9">
        <w:rPr>
          <w:rFonts w:asciiTheme="minorHAnsi" w:hAnsiTheme="minorHAnsi"/>
          <w:sz w:val="28"/>
          <w:szCs w:val="28"/>
        </w:rPr>
        <w:t>. Oktober 2013</w:t>
      </w:r>
    </w:p>
    <w:p w14:paraId="4C8B2586" w14:textId="77777777" w:rsidR="005D5158" w:rsidRDefault="005D5158" w:rsidP="007A048B">
      <w:pPr>
        <w:rPr>
          <w:sz w:val="22"/>
        </w:rPr>
      </w:pPr>
    </w:p>
    <w:p w14:paraId="46B1C508" w14:textId="0DC65638" w:rsidR="00F27FB4" w:rsidRDefault="009D6A5C" w:rsidP="00F27FB4">
      <w:pPr>
        <w:pStyle w:val="berschrift1"/>
        <w:spacing w:line="264" w:lineRule="auto"/>
        <w:ind w:left="432" w:hanging="432"/>
      </w:pPr>
      <w:r>
        <w:t xml:space="preserve">2. </w:t>
      </w:r>
      <w:r w:rsidR="00F27FB4">
        <w:t>Erbe und Schatten: Die Konzeptionen der Seelsorge</w:t>
      </w:r>
    </w:p>
    <w:p w14:paraId="44A75895" w14:textId="77777777" w:rsidR="0096549F" w:rsidRDefault="00B741EC" w:rsidP="00F27FB4">
      <w:pPr>
        <w:pStyle w:val="berschrift2"/>
        <w:numPr>
          <w:ilvl w:val="1"/>
          <w:numId w:val="0"/>
        </w:numPr>
        <w:spacing w:line="264" w:lineRule="auto"/>
        <w:ind w:left="576" w:hanging="576"/>
        <w:jc w:val="both"/>
      </w:pPr>
      <w:r>
        <w:t xml:space="preserve">2.3 </w:t>
      </w:r>
      <w:r w:rsidR="00F27FB4">
        <w:t>Vom großen Streits zur integrativen Sicht</w:t>
      </w:r>
      <w:r w:rsidR="0096549F">
        <w:t xml:space="preserve"> auf die Seelsorge </w:t>
      </w:r>
    </w:p>
    <w:p w14:paraId="1ACB7395" w14:textId="77777777" w:rsidR="0096549F" w:rsidRPr="009D69EC" w:rsidRDefault="0096549F" w:rsidP="00F27FB4">
      <w:pPr>
        <w:rPr>
          <w:rStyle w:val="Betont"/>
          <w:b w:val="0"/>
          <w:sz w:val="22"/>
        </w:rPr>
      </w:pPr>
      <w:r w:rsidRPr="009D69EC">
        <w:rPr>
          <w:rStyle w:val="Betont"/>
          <w:b w:val="0"/>
          <w:sz w:val="22"/>
        </w:rPr>
        <w:t>Ich vertrete einen multiperspektivischen</w:t>
      </w:r>
      <w:r w:rsidR="00F27FB4" w:rsidRPr="009D69EC">
        <w:rPr>
          <w:rStyle w:val="Betont"/>
          <w:b w:val="0"/>
          <w:sz w:val="22"/>
        </w:rPr>
        <w:t xml:space="preserve"> und </w:t>
      </w:r>
      <w:proofErr w:type="spellStart"/>
      <w:r w:rsidR="00F27FB4" w:rsidRPr="009D69EC">
        <w:rPr>
          <w:rStyle w:val="Betont"/>
          <w:b w:val="0"/>
          <w:sz w:val="22"/>
        </w:rPr>
        <w:t>methodenpluralen</w:t>
      </w:r>
      <w:proofErr w:type="spellEnd"/>
      <w:r w:rsidR="00F27FB4" w:rsidRPr="009D69EC">
        <w:rPr>
          <w:rStyle w:val="Betont"/>
          <w:b w:val="0"/>
          <w:sz w:val="22"/>
        </w:rPr>
        <w:t xml:space="preserve"> </w:t>
      </w:r>
      <w:r w:rsidRPr="009D69EC">
        <w:rPr>
          <w:rStyle w:val="Betont"/>
          <w:b w:val="0"/>
          <w:sz w:val="22"/>
        </w:rPr>
        <w:t xml:space="preserve">Ansatz </w:t>
      </w:r>
      <w:r w:rsidR="00F27FB4" w:rsidRPr="009D69EC">
        <w:rPr>
          <w:rStyle w:val="Betont"/>
          <w:b w:val="0"/>
          <w:sz w:val="22"/>
        </w:rPr>
        <w:t>der Seelsorge</w:t>
      </w:r>
      <w:r w:rsidRPr="009D69EC">
        <w:rPr>
          <w:rStyle w:val="Betont"/>
          <w:b w:val="0"/>
          <w:sz w:val="22"/>
        </w:rPr>
        <w:t>, der 7 Aspekte verschiedener Seelsorgekonzeptionen integriert:</w:t>
      </w:r>
    </w:p>
    <w:p w14:paraId="1CC6F855" w14:textId="20FC1CE4" w:rsidR="000F59F7" w:rsidRPr="000F59F7" w:rsidRDefault="000F59F7" w:rsidP="000F59F7">
      <w:pPr>
        <w:jc w:val="center"/>
        <w:rPr>
          <w:rStyle w:val="Betont"/>
          <w:b w:val="0"/>
          <w:sz w:val="22"/>
        </w:rPr>
      </w:pPr>
      <w:r w:rsidRPr="000F59F7">
        <w:rPr>
          <w:bCs/>
          <w:noProof/>
          <w:sz w:val="22"/>
          <w:lang w:eastAsia="de-DE"/>
        </w:rPr>
        <w:drawing>
          <wp:inline distT="0" distB="0" distL="0" distR="0" wp14:anchorId="6B4ECC7E" wp14:editId="68D71017">
            <wp:extent cx="4383210" cy="3289462"/>
            <wp:effectExtent l="0" t="0" r="1143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547" cy="3290465"/>
                    </a:xfrm>
                    <a:prstGeom prst="rect">
                      <a:avLst/>
                    </a:prstGeom>
                    <a:noFill/>
                    <a:ln>
                      <a:noFill/>
                    </a:ln>
                  </pic:spPr>
                </pic:pic>
              </a:graphicData>
            </a:graphic>
          </wp:inline>
        </w:drawing>
      </w:r>
    </w:p>
    <w:p w14:paraId="61A30989" w14:textId="35FBD16D" w:rsidR="00F27FB4" w:rsidRDefault="00F27FB4" w:rsidP="00F27FB4">
      <w:pPr>
        <w:rPr>
          <w:sz w:val="22"/>
        </w:rPr>
      </w:pPr>
    </w:p>
    <w:p w14:paraId="1B5EDFF5" w14:textId="3BFCDA76" w:rsidR="000E64DB" w:rsidRDefault="000E64DB" w:rsidP="00182B18">
      <w:pPr>
        <w:jc w:val="center"/>
        <w:rPr>
          <w:rFonts w:asciiTheme="minorHAnsi" w:hAnsiTheme="minorHAnsi"/>
        </w:rPr>
      </w:pPr>
    </w:p>
    <w:p w14:paraId="3D57771A" w14:textId="1742D04D" w:rsidR="0096549F" w:rsidRPr="00E00C5E" w:rsidRDefault="00E00C5E" w:rsidP="00E00C5E">
      <w:pPr>
        <w:pStyle w:val="berschrift3"/>
        <w:rPr>
          <w:rStyle w:val="Betont"/>
          <w:b/>
        </w:rPr>
      </w:pPr>
      <w:r>
        <w:rPr>
          <w:rStyle w:val="Betont"/>
          <w:b/>
        </w:rPr>
        <w:lastRenderedPageBreak/>
        <w:t xml:space="preserve">2.3.1 </w:t>
      </w:r>
      <w:r w:rsidR="0096549F" w:rsidRPr="00E00C5E">
        <w:rPr>
          <w:rStyle w:val="Betont"/>
          <w:b/>
        </w:rPr>
        <w:t>Kräftiger Realismus – die Wirklichkeit ernst nehmen (liberale Theologie um 1914)</w:t>
      </w:r>
    </w:p>
    <w:p w14:paraId="58D6FE9B" w14:textId="0C6D7619" w:rsidR="00E00C5E" w:rsidRDefault="00E00C5E" w:rsidP="00E00C5E">
      <w:pPr>
        <w:jc w:val="center"/>
      </w:pPr>
      <w:r w:rsidRPr="00E00C5E">
        <w:rPr>
          <w:noProof/>
          <w:sz w:val="20"/>
          <w:lang w:eastAsia="de-DE"/>
        </w:rPr>
        <w:drawing>
          <wp:inline distT="0" distB="0" distL="0" distR="0" wp14:anchorId="05F33C45" wp14:editId="55F9524C">
            <wp:extent cx="4157926" cy="3120395"/>
            <wp:effectExtent l="0" t="0" r="8255" b="381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8082" cy="3120512"/>
                    </a:xfrm>
                    <a:prstGeom prst="rect">
                      <a:avLst/>
                    </a:prstGeom>
                    <a:noFill/>
                    <a:ln>
                      <a:noFill/>
                    </a:ln>
                  </pic:spPr>
                </pic:pic>
              </a:graphicData>
            </a:graphic>
          </wp:inline>
        </w:drawing>
      </w:r>
      <w:r w:rsidR="009D69EC">
        <w:rPr>
          <w:rStyle w:val="Funotenzeichen"/>
        </w:rPr>
        <w:footnoteReference w:id="1"/>
      </w:r>
    </w:p>
    <w:tbl>
      <w:tblPr>
        <w:tblStyle w:val="Tabellenraster"/>
        <w:tblW w:w="0" w:type="auto"/>
        <w:tblLook w:val="04A0" w:firstRow="1" w:lastRow="0" w:firstColumn="1" w:lastColumn="0" w:noHBand="0" w:noVBand="1"/>
      </w:tblPr>
      <w:tblGrid>
        <w:gridCol w:w="4856"/>
        <w:gridCol w:w="4432"/>
      </w:tblGrid>
      <w:tr w:rsidR="009D69EC" w14:paraId="11CE202E" w14:textId="77777777" w:rsidTr="00B7695A">
        <w:tc>
          <w:tcPr>
            <w:tcW w:w="4856" w:type="dxa"/>
            <w:tcBorders>
              <w:top w:val="nil"/>
              <w:left w:val="nil"/>
              <w:bottom w:val="nil"/>
              <w:right w:val="nil"/>
            </w:tcBorders>
          </w:tcPr>
          <w:p w14:paraId="65BCED9D" w14:textId="77699C0C" w:rsidR="009D69EC" w:rsidRDefault="009D69EC" w:rsidP="009D69EC">
            <w:pPr>
              <w:jc w:val="center"/>
            </w:pPr>
            <w:r w:rsidRPr="009D69EC">
              <w:rPr>
                <w:noProof/>
                <w:lang w:eastAsia="de-DE"/>
              </w:rPr>
              <w:drawing>
                <wp:inline distT="0" distB="0" distL="0" distR="0" wp14:anchorId="29945D11" wp14:editId="1B9F67A8">
                  <wp:extent cx="2936028" cy="2202022"/>
                  <wp:effectExtent l="0" t="0" r="10795" b="8255"/>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419" cy="2202315"/>
                          </a:xfrm>
                          <a:prstGeom prst="rect">
                            <a:avLst/>
                          </a:prstGeom>
                          <a:noFill/>
                          <a:ln>
                            <a:noFill/>
                          </a:ln>
                        </pic:spPr>
                      </pic:pic>
                    </a:graphicData>
                  </a:graphic>
                </wp:inline>
              </w:drawing>
            </w:r>
          </w:p>
        </w:tc>
        <w:tc>
          <w:tcPr>
            <w:tcW w:w="4432" w:type="dxa"/>
            <w:tcBorders>
              <w:top w:val="nil"/>
              <w:left w:val="nil"/>
              <w:bottom w:val="nil"/>
              <w:right w:val="nil"/>
            </w:tcBorders>
          </w:tcPr>
          <w:p w14:paraId="2314E651" w14:textId="21C731D2" w:rsidR="00B7695A" w:rsidRDefault="009D69EC" w:rsidP="009D69EC">
            <w:pPr>
              <w:rPr>
                <w:sz w:val="22"/>
              </w:rPr>
            </w:pPr>
            <w:r w:rsidRPr="009D69EC">
              <w:rPr>
                <w:sz w:val="22"/>
              </w:rPr>
              <w:t>Wer aber nüchtern wahrnimmt, wird, was er sieht, nicht leichten Herzens hinnehmen. Vie</w:t>
            </w:r>
            <w:r w:rsidRPr="009D69EC">
              <w:rPr>
                <w:sz w:val="22"/>
              </w:rPr>
              <w:t>l</w:t>
            </w:r>
            <w:r w:rsidRPr="009D69EC">
              <w:rPr>
                <w:sz w:val="22"/>
              </w:rPr>
              <w:t>mehr müssen nun Seelsorge, Diakonie und sozialpolitisches Engagement Hand in Hand gehen</w:t>
            </w:r>
            <w:r>
              <w:rPr>
                <w:sz w:val="22"/>
              </w:rPr>
              <w:t xml:space="preserve"> (</w:t>
            </w:r>
            <w:r w:rsidRPr="009D69EC">
              <w:rPr>
                <w:sz w:val="22"/>
              </w:rPr>
              <w:t>„Inneren Mission“</w:t>
            </w:r>
            <w:r>
              <w:rPr>
                <w:sz w:val="22"/>
              </w:rPr>
              <w:t>!)</w:t>
            </w:r>
            <w:r w:rsidRPr="009D69EC">
              <w:rPr>
                <w:sz w:val="22"/>
              </w:rPr>
              <w:t xml:space="preserve">. </w:t>
            </w:r>
          </w:p>
          <w:p w14:paraId="1BF49A3F" w14:textId="30F10B72" w:rsidR="009D69EC" w:rsidRDefault="00B7695A" w:rsidP="009D69EC">
            <w:r w:rsidRPr="00B7695A">
              <w:rPr>
                <w:sz w:val="22"/>
              </w:rPr>
              <w:t>Angesichts der Größe der Aufgabe wird dann aber sofort deutlich, dass nur eine seelsorglich motivierte und geschulte Gemeinde ihr w</w:t>
            </w:r>
            <w:r w:rsidRPr="00B7695A">
              <w:rPr>
                <w:sz w:val="22"/>
              </w:rPr>
              <w:t>e</w:t>
            </w:r>
            <w:r w:rsidRPr="00B7695A">
              <w:rPr>
                <w:sz w:val="22"/>
              </w:rPr>
              <w:t>nigstens annähernd gerecht werden kann.</w:t>
            </w:r>
          </w:p>
        </w:tc>
      </w:tr>
    </w:tbl>
    <w:p w14:paraId="7810FFE6" w14:textId="419A93FE" w:rsidR="009D69EC" w:rsidRDefault="00B7695A" w:rsidP="00B7695A">
      <w:pPr>
        <w:spacing w:after="120"/>
      </w:pPr>
      <w:r w:rsidRPr="00B7695A">
        <w:rPr>
          <w:sz w:val="22"/>
        </w:rPr>
        <w:t>Kräftiger Realismus in der Seelsorge wird also die sozialen und kulturellen Rahmenbedingungen so gut wie möglich wahrnehmen. Sie wird sich aber auch der Lage des Einzelnen so nüchtern wie mö</w:t>
      </w:r>
      <w:r w:rsidRPr="00B7695A">
        <w:rPr>
          <w:sz w:val="22"/>
        </w:rPr>
        <w:t>g</w:t>
      </w:r>
      <w:r w:rsidRPr="00B7695A">
        <w:rPr>
          <w:sz w:val="22"/>
        </w:rPr>
        <w:t xml:space="preserve">lich stellen, ohne sich die Realität schöner zu „malen“ als sie ist. </w:t>
      </w:r>
      <w:r w:rsidRPr="009D69EC">
        <w:rPr>
          <w:sz w:val="22"/>
        </w:rPr>
        <w:t xml:space="preserve"> </w:t>
      </w:r>
    </w:p>
    <w:p w14:paraId="2A50DA53" w14:textId="77777777" w:rsidR="00B7695A" w:rsidRPr="00B7695A" w:rsidRDefault="0096549F" w:rsidP="00B7695A">
      <w:pPr>
        <w:spacing w:after="120"/>
        <w:rPr>
          <w:sz w:val="22"/>
        </w:rPr>
      </w:pPr>
      <w:r w:rsidRPr="00B7695A">
        <w:rPr>
          <w:sz w:val="22"/>
        </w:rPr>
        <w:t>Zu solchem Anschauen gehört gründliche Kenntnis: Was z.B. erlebt ein Mensch in seiner depressiven Episode und warum muss ein Seelsorger gerade dann gegenüber den Schuldbekenntnissen des and</w:t>
      </w:r>
      <w:r w:rsidRPr="00B7695A">
        <w:rPr>
          <w:sz w:val="22"/>
        </w:rPr>
        <w:t>e</w:t>
      </w:r>
      <w:r w:rsidRPr="00B7695A">
        <w:rPr>
          <w:sz w:val="22"/>
        </w:rPr>
        <w:t xml:space="preserve">ren sehr zurückhaltend sein? Oder wie „funktionieren“ eheliche Teufelskreise bzw. wie lassen sie sich heilsam verstören? </w:t>
      </w:r>
    </w:p>
    <w:p w14:paraId="147C5DFB" w14:textId="77777777" w:rsidR="00B7695A" w:rsidRPr="00B7695A" w:rsidRDefault="0096549F" w:rsidP="00B7695A">
      <w:pPr>
        <w:spacing w:after="120"/>
        <w:rPr>
          <w:sz w:val="22"/>
        </w:rPr>
      </w:pPr>
      <w:r w:rsidRPr="00B7695A">
        <w:rPr>
          <w:sz w:val="22"/>
        </w:rPr>
        <w:t xml:space="preserve">Diese nüchterne Wahrnehmung gehört zum bleibenden </w:t>
      </w:r>
      <w:r w:rsidRPr="00B7695A">
        <w:rPr>
          <w:sz w:val="22"/>
          <w:u w:val="single"/>
        </w:rPr>
        <w:t>Erbe</w:t>
      </w:r>
      <w:r w:rsidR="00B7695A" w:rsidRPr="00B7695A">
        <w:rPr>
          <w:sz w:val="22"/>
        </w:rPr>
        <w:t xml:space="preserve"> der liberalen Theologie. Ihr „</w:t>
      </w:r>
      <w:r w:rsidR="00B7695A" w:rsidRPr="00B7695A">
        <w:rPr>
          <w:sz w:val="22"/>
          <w:u w:val="single"/>
        </w:rPr>
        <w:t>Schatten</w:t>
      </w:r>
      <w:r w:rsidR="00B7695A" w:rsidRPr="00B7695A">
        <w:rPr>
          <w:sz w:val="22"/>
        </w:rPr>
        <w:t xml:space="preserve">“ zeigt sich in einer </w:t>
      </w:r>
      <w:r w:rsidRPr="00B7695A">
        <w:rPr>
          <w:sz w:val="22"/>
        </w:rPr>
        <w:t>Reduzierung der Inneren Mission auf soziale Dienst- und Hilfeleistungen</w:t>
      </w:r>
      <w:r w:rsidR="00B7695A" w:rsidRPr="00B7695A">
        <w:rPr>
          <w:sz w:val="22"/>
        </w:rPr>
        <w:t xml:space="preserve">, also in einem </w:t>
      </w:r>
      <w:r w:rsidRPr="00B7695A">
        <w:rPr>
          <w:sz w:val="22"/>
        </w:rPr>
        <w:t xml:space="preserve">spürbaren Verlust der Glaubensdimension. </w:t>
      </w:r>
    </w:p>
    <w:p w14:paraId="40B7E80D" w14:textId="4C373904" w:rsidR="0096549F" w:rsidRPr="006F111A" w:rsidRDefault="0096549F" w:rsidP="0096549F">
      <w:pPr>
        <w:pStyle w:val="berschrift2"/>
        <w:ind w:left="576" w:hanging="576"/>
        <w:rPr>
          <w:b w:val="0"/>
          <w:noProof/>
        </w:rPr>
      </w:pPr>
      <w:r>
        <w:rPr>
          <w:sz w:val="28"/>
        </w:rPr>
        <w:fldChar w:fldCharType="begin"/>
      </w:r>
      <w:r>
        <w:instrText xml:space="preserve"> ADDIN EN.REFLIST </w:instrText>
      </w:r>
      <w:r>
        <w:rPr>
          <w:sz w:val="28"/>
        </w:rPr>
        <w:fldChar w:fldCharType="separate"/>
      </w:r>
    </w:p>
    <w:p w14:paraId="4905BA51" w14:textId="77777777" w:rsidR="0096549F" w:rsidRDefault="0096549F" w:rsidP="0096549F">
      <w:pPr>
        <w:spacing w:after="0" w:line="240" w:lineRule="auto"/>
        <w:ind w:left="720" w:hanging="720"/>
        <w:jc w:val="both"/>
        <w:rPr>
          <w:noProof/>
        </w:rPr>
      </w:pPr>
      <w:bookmarkStart w:id="0" w:name="_ENREF_14"/>
    </w:p>
    <w:p w14:paraId="6689EF75" w14:textId="2CBF7495" w:rsidR="0096549F" w:rsidRPr="00E00C5E" w:rsidRDefault="0096549F" w:rsidP="00E00C5E">
      <w:pPr>
        <w:pStyle w:val="berschrift3"/>
      </w:pPr>
      <w:bookmarkStart w:id="1" w:name="_Toc186639699"/>
      <w:r w:rsidRPr="00E00C5E">
        <w:t>2.3.2 Wortgebundene Hilfe – Gottes Gegenwart erwarten</w:t>
      </w:r>
      <w:bookmarkEnd w:id="1"/>
      <w:r w:rsidRPr="00E00C5E">
        <w:t xml:space="preserve"> </w:t>
      </w:r>
    </w:p>
    <w:p w14:paraId="54B4380A" w14:textId="5AF95E99" w:rsidR="0096549F" w:rsidRPr="00222E01" w:rsidRDefault="00E73222" w:rsidP="00CD069D">
      <w:pPr>
        <w:jc w:val="center"/>
      </w:pPr>
      <w:r w:rsidRPr="00E73222">
        <w:rPr>
          <w:noProof/>
          <w:lang w:eastAsia="de-DE"/>
        </w:rPr>
        <w:drawing>
          <wp:inline distT="0" distB="0" distL="0" distR="0" wp14:anchorId="415E3F6E" wp14:editId="40AF25D2">
            <wp:extent cx="3453342" cy="2590007"/>
            <wp:effectExtent l="0" t="0" r="1270" b="127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3342" cy="2590007"/>
                    </a:xfrm>
                    <a:prstGeom prst="rect">
                      <a:avLst/>
                    </a:prstGeom>
                    <a:noFill/>
                    <a:ln>
                      <a:noFill/>
                    </a:ln>
                  </pic:spPr>
                </pic:pic>
              </a:graphicData>
            </a:graphic>
          </wp:inline>
        </w:drawing>
      </w:r>
      <w:r w:rsidR="0096549F">
        <w:rPr>
          <w:rStyle w:val="Funotenzeichen"/>
          <w:sz w:val="20"/>
        </w:rPr>
        <w:footnoteReference w:id="2"/>
      </w:r>
    </w:p>
    <w:p w14:paraId="69434B07" w14:textId="77777777" w:rsidR="0096549F" w:rsidRPr="0060382E" w:rsidRDefault="0096549F" w:rsidP="0096549F">
      <w:pPr>
        <w:pStyle w:val="berschrift4"/>
        <w:rPr>
          <w:sz w:val="22"/>
        </w:rPr>
      </w:pPr>
      <w:bookmarkStart w:id="2" w:name="_Toc186639700"/>
      <w:r w:rsidRPr="0060382E">
        <w:rPr>
          <w:sz w:val="22"/>
        </w:rPr>
        <w:t>Eduard Thurneysen als Protagonist der kerygmatischen Seelsorge</w:t>
      </w:r>
      <w:bookmarkEnd w:id="2"/>
    </w:p>
    <w:p w14:paraId="55A24D9E" w14:textId="7C1B59DB" w:rsidR="0096549F" w:rsidRPr="00AD2771" w:rsidRDefault="00CD069D" w:rsidP="0096549F">
      <w:pPr>
        <w:rPr>
          <w:sz w:val="22"/>
        </w:rPr>
      </w:pPr>
      <w:r w:rsidRPr="00AD2771">
        <w:rPr>
          <w:sz w:val="22"/>
        </w:rPr>
        <w:t xml:space="preserve">Eduard Thurneysen schreibt in seiner </w:t>
      </w:r>
      <w:r w:rsidR="0096549F" w:rsidRPr="00AD2771">
        <w:rPr>
          <w:sz w:val="22"/>
        </w:rPr>
        <w:t>„Lehre von der Seelsorge“ (1948): „Seelsorge findet sich in der Kirche vor als Ausrichtung des Wortes Gottes an den Einzelnen.“</w:t>
      </w:r>
      <w:r w:rsidR="0096549F" w:rsidRPr="00AD2771">
        <w:rPr>
          <w:rStyle w:val="Funotenzeichen"/>
          <w:sz w:val="22"/>
        </w:rPr>
        <w:footnoteReference w:id="3"/>
      </w:r>
      <w:r w:rsidR="0096549F" w:rsidRPr="00AD2771">
        <w:rPr>
          <w:rStyle w:val="Funotenzeichen"/>
          <w:sz w:val="22"/>
        </w:rPr>
        <w:t xml:space="preserve"> </w:t>
      </w:r>
      <w:r w:rsidR="0096549F" w:rsidRPr="00AD2771">
        <w:rPr>
          <w:sz w:val="22"/>
        </w:rPr>
        <w:t>Die Verkündigung „ergeht […] nicht nur im Allgemeinen, sondern sie ergeht von Person zu Person. Eben damit wird sie zur Seelsorge, die die Verkündigung, die allen gilt, heranträgt an das Leben des Einzelnen.“</w:t>
      </w:r>
      <w:r w:rsidR="0096549F" w:rsidRPr="00AD2771">
        <w:rPr>
          <w:rStyle w:val="Funotenzeichen"/>
          <w:sz w:val="22"/>
        </w:rPr>
        <w:footnoteReference w:id="4"/>
      </w:r>
      <w:r w:rsidR="0096549F" w:rsidRPr="00AD2771">
        <w:rPr>
          <w:sz w:val="22"/>
        </w:rPr>
        <w:t xml:space="preserve"> </w:t>
      </w:r>
    </w:p>
    <w:tbl>
      <w:tblPr>
        <w:tblStyle w:val="Tabellenraster"/>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103"/>
      </w:tblGrid>
      <w:tr w:rsidR="00CD069D" w14:paraId="2A3B0903" w14:textId="77777777" w:rsidTr="00CD069D">
        <w:tc>
          <w:tcPr>
            <w:tcW w:w="4962" w:type="dxa"/>
          </w:tcPr>
          <w:p w14:paraId="11525BCA" w14:textId="450F54BB" w:rsidR="00CD069D" w:rsidRDefault="00CD069D" w:rsidP="0096549F">
            <w:r>
              <w:rPr>
                <w:noProof/>
                <w:lang w:eastAsia="de-DE"/>
              </w:rPr>
              <w:drawing>
                <wp:inline distT="0" distB="0" distL="0" distR="0" wp14:anchorId="4506DF26" wp14:editId="37441961">
                  <wp:extent cx="2891367" cy="2168446"/>
                  <wp:effectExtent l="0" t="0" r="4445"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367" cy="2168446"/>
                          </a:xfrm>
                          <a:prstGeom prst="rect">
                            <a:avLst/>
                          </a:prstGeom>
                          <a:noFill/>
                          <a:ln>
                            <a:noFill/>
                          </a:ln>
                        </pic:spPr>
                      </pic:pic>
                    </a:graphicData>
                  </a:graphic>
                </wp:inline>
              </w:drawing>
            </w:r>
            <w:r w:rsidRPr="00CD069D">
              <w:rPr>
                <w:rStyle w:val="Funotenzeichen"/>
                <w:sz w:val="22"/>
              </w:rPr>
              <w:footnoteReference w:id="5"/>
            </w:r>
          </w:p>
        </w:tc>
        <w:tc>
          <w:tcPr>
            <w:tcW w:w="5103" w:type="dxa"/>
          </w:tcPr>
          <w:p w14:paraId="1F98211D" w14:textId="1441F32E" w:rsidR="00CD069D" w:rsidRDefault="00CD069D" w:rsidP="0096549F">
            <w:r>
              <w:rPr>
                <w:noProof/>
                <w:lang w:eastAsia="de-DE"/>
              </w:rPr>
              <w:drawing>
                <wp:inline distT="0" distB="0" distL="0" distR="0" wp14:anchorId="438DE95F" wp14:editId="74B68795">
                  <wp:extent cx="2873485" cy="2155034"/>
                  <wp:effectExtent l="0" t="0" r="0" b="4445"/>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201" cy="2155571"/>
                          </a:xfrm>
                          <a:prstGeom prst="rect">
                            <a:avLst/>
                          </a:prstGeom>
                          <a:noFill/>
                          <a:ln>
                            <a:noFill/>
                          </a:ln>
                        </pic:spPr>
                      </pic:pic>
                    </a:graphicData>
                  </a:graphic>
                </wp:inline>
              </w:drawing>
            </w:r>
            <w:r w:rsidRPr="00CD069D">
              <w:rPr>
                <w:rStyle w:val="Funotenzeichen"/>
                <w:sz w:val="22"/>
              </w:rPr>
              <w:footnoteReference w:id="6"/>
            </w:r>
          </w:p>
        </w:tc>
      </w:tr>
    </w:tbl>
    <w:p w14:paraId="72112281" w14:textId="4EC634F1" w:rsidR="00CD069D" w:rsidRPr="00CD069D" w:rsidRDefault="0096549F" w:rsidP="00CD069D">
      <w:pPr>
        <w:ind w:left="426"/>
        <w:rPr>
          <w:i/>
          <w:sz w:val="22"/>
        </w:rPr>
      </w:pPr>
      <w:r w:rsidRPr="00CD069D">
        <w:rPr>
          <w:i/>
          <w:sz w:val="22"/>
        </w:rPr>
        <w:t>„Seelsorge ist nicht Sorge um die Seele des Menschen, sondern Sorge um den Menschen als Se</w:t>
      </w:r>
      <w:r w:rsidRPr="00CD069D">
        <w:rPr>
          <w:i/>
          <w:sz w:val="22"/>
        </w:rPr>
        <w:t>e</w:t>
      </w:r>
      <w:r w:rsidRPr="00CD069D">
        <w:rPr>
          <w:i/>
          <w:sz w:val="22"/>
        </w:rPr>
        <w:t>le. Und wir verstehen darunter: der Mensch wird auf Grund der Rechtfertigung gesehen als der, den Gott anspricht in Christus. Dieses Sehen des Menschen als eines, auf den Gott seine Hand g</w:t>
      </w:r>
      <w:r w:rsidRPr="00CD069D">
        <w:rPr>
          <w:i/>
          <w:sz w:val="22"/>
        </w:rPr>
        <w:t>e</w:t>
      </w:r>
      <w:r w:rsidRPr="00CD069D">
        <w:rPr>
          <w:i/>
          <w:sz w:val="22"/>
        </w:rPr>
        <w:t>legt hat, das ist der primäre Akt aller wirklichen Seelsorge.”</w:t>
      </w:r>
      <w:r w:rsidR="00CD069D">
        <w:rPr>
          <w:i/>
          <w:sz w:val="22"/>
        </w:rPr>
        <w:t xml:space="preserve"> (Eduard Thurneysen</w:t>
      </w:r>
      <w:r w:rsidRPr="00CD069D">
        <w:rPr>
          <w:rStyle w:val="Funotenzeichen"/>
          <w:i/>
          <w:sz w:val="22"/>
        </w:rPr>
        <w:footnoteReference w:id="7"/>
      </w:r>
      <w:r w:rsidR="00CD069D">
        <w:rPr>
          <w:i/>
          <w:sz w:val="22"/>
        </w:rPr>
        <w:t>)</w:t>
      </w:r>
      <w:r w:rsidRPr="00CD069D">
        <w:rPr>
          <w:i/>
          <w:sz w:val="22"/>
        </w:rPr>
        <w:t xml:space="preserve"> </w:t>
      </w:r>
    </w:p>
    <w:p w14:paraId="02A3B744" w14:textId="7697749A" w:rsidR="00CD069D" w:rsidRPr="00604824" w:rsidRDefault="0096549F" w:rsidP="00604824">
      <w:pPr>
        <w:ind w:left="284"/>
        <w:rPr>
          <w:i/>
          <w:sz w:val="22"/>
        </w:rPr>
      </w:pPr>
      <w:r w:rsidRPr="00604824">
        <w:rPr>
          <w:i/>
          <w:sz w:val="22"/>
        </w:rPr>
        <w:t xml:space="preserve">„Wir </w:t>
      </w:r>
      <w:r w:rsidRPr="00604824">
        <w:rPr>
          <w:bCs/>
          <w:i/>
          <w:iCs/>
          <w:sz w:val="22"/>
        </w:rPr>
        <w:t>sollen nicht den Psychologen spielen.</w:t>
      </w:r>
      <w:r w:rsidRPr="00604824">
        <w:rPr>
          <w:i/>
          <w:sz w:val="22"/>
        </w:rPr>
        <w:t>” Dem Hilfesuchenden wird „gerade damit nicht gedient sein, dass wir ihm zu sagen trachten, was ihm jene Anderen wahrscheinlich besser sagen können, als wir es zu tun im Stande wären.”</w:t>
      </w:r>
      <w:r w:rsidR="00CD069D" w:rsidRPr="00604824">
        <w:rPr>
          <w:rStyle w:val="Funotenzeichen"/>
          <w:i/>
          <w:sz w:val="22"/>
        </w:rPr>
        <w:footnoteReference w:id="8"/>
      </w:r>
    </w:p>
    <w:p w14:paraId="48AE8C57" w14:textId="331C6381" w:rsidR="00604824" w:rsidRPr="00604824" w:rsidRDefault="0096549F" w:rsidP="00604824">
      <w:pPr>
        <w:rPr>
          <w:sz w:val="22"/>
        </w:rPr>
      </w:pPr>
      <w:r w:rsidRPr="00604824">
        <w:rPr>
          <w:sz w:val="22"/>
        </w:rPr>
        <w:t xml:space="preserve">Diese Ausrichtung des Wortes Gottes an den Einzelnen hat die </w:t>
      </w:r>
      <w:r w:rsidRPr="00604824">
        <w:rPr>
          <w:bCs/>
          <w:iCs/>
          <w:sz w:val="22"/>
        </w:rPr>
        <w:t>Eingliederung des Einzelnen in die Gemeinde Jesu</w:t>
      </w:r>
      <w:r w:rsidRPr="00604824">
        <w:rPr>
          <w:sz w:val="22"/>
        </w:rPr>
        <w:t xml:space="preserve"> und seine Beheimatung in dieser Gemeinde zum Ziel. Das ist die erste Folge der Rechtfertigung: Der Mensch</w:t>
      </w:r>
      <w:r w:rsidRPr="00604824">
        <w:rPr>
          <w:bCs/>
          <w:iCs/>
          <w:sz w:val="22"/>
        </w:rPr>
        <w:t xml:space="preserve"> kommt zur Gemeinschaft</w:t>
      </w:r>
      <w:r w:rsidRPr="00604824">
        <w:rPr>
          <w:sz w:val="22"/>
        </w:rPr>
        <w:t>.</w:t>
      </w:r>
      <w:r w:rsidRPr="00604824">
        <w:rPr>
          <w:rStyle w:val="Funotenzeichen"/>
          <w:sz w:val="22"/>
        </w:rPr>
        <w:footnoteReference w:id="9"/>
      </w:r>
      <w:r w:rsidRPr="00604824">
        <w:rPr>
          <w:sz w:val="22"/>
        </w:rPr>
        <w:t xml:space="preserve"> </w:t>
      </w:r>
      <w:r w:rsidR="00604824">
        <w:rPr>
          <w:sz w:val="22"/>
        </w:rPr>
        <w:t>D</w:t>
      </w:r>
      <w:r w:rsidRPr="00604824">
        <w:rPr>
          <w:sz w:val="22"/>
        </w:rPr>
        <w:t xml:space="preserve">ie zweite Folge ist: </w:t>
      </w:r>
      <w:r w:rsidRPr="00604824">
        <w:rPr>
          <w:bCs/>
          <w:iCs/>
          <w:sz w:val="22"/>
        </w:rPr>
        <w:t>Er findet zum Gehorsam</w:t>
      </w:r>
      <w:r w:rsidR="00604824">
        <w:rPr>
          <w:bCs/>
          <w:iCs/>
          <w:sz w:val="22"/>
        </w:rPr>
        <w:t xml:space="preserve">. Kirchenzucht steht als </w:t>
      </w:r>
      <w:r w:rsidR="00604824">
        <w:rPr>
          <w:bCs/>
          <w:i/>
          <w:iCs/>
          <w:sz w:val="22"/>
        </w:rPr>
        <w:t xml:space="preserve">nota ecclesia </w:t>
      </w:r>
      <w:r w:rsidR="00604824">
        <w:rPr>
          <w:bCs/>
          <w:iCs/>
          <w:sz w:val="22"/>
        </w:rPr>
        <w:t>im Dienst der Heiligung</w:t>
      </w:r>
      <w:r w:rsidRPr="00604824">
        <w:rPr>
          <w:sz w:val="22"/>
        </w:rPr>
        <w:t xml:space="preserve">. </w:t>
      </w:r>
    </w:p>
    <w:p w14:paraId="34D10EFE" w14:textId="02B7FB5F" w:rsidR="00604824" w:rsidRDefault="00604824" w:rsidP="00604824">
      <w:pPr>
        <w:jc w:val="center"/>
      </w:pPr>
      <w:r w:rsidRPr="00604824">
        <w:rPr>
          <w:noProof/>
          <w:lang w:eastAsia="de-DE"/>
        </w:rPr>
        <w:drawing>
          <wp:inline distT="0" distB="0" distL="0" distR="0" wp14:anchorId="36C2DD05" wp14:editId="6D9001F1">
            <wp:extent cx="2927561" cy="2195671"/>
            <wp:effectExtent l="0" t="0" r="0"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8175" cy="2196131"/>
                    </a:xfrm>
                    <a:prstGeom prst="rect">
                      <a:avLst/>
                    </a:prstGeom>
                    <a:noFill/>
                    <a:ln>
                      <a:noFill/>
                    </a:ln>
                  </pic:spPr>
                </pic:pic>
              </a:graphicData>
            </a:graphic>
          </wp:inline>
        </w:drawing>
      </w:r>
    </w:p>
    <w:p w14:paraId="54924BF4" w14:textId="4A93084C" w:rsidR="00604824" w:rsidRDefault="00604824" w:rsidP="00604824">
      <w:pPr>
        <w:jc w:val="center"/>
      </w:pPr>
      <w:r w:rsidRPr="00604824">
        <w:rPr>
          <w:noProof/>
          <w:lang w:eastAsia="de-DE"/>
        </w:rPr>
        <w:drawing>
          <wp:inline distT="0" distB="0" distL="0" distR="0" wp14:anchorId="734CF0E0" wp14:editId="0DA818A3">
            <wp:extent cx="2502535" cy="1876901"/>
            <wp:effectExtent l="0" t="0" r="12065" b="3175"/>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2706" cy="1877029"/>
                    </a:xfrm>
                    <a:prstGeom prst="rect">
                      <a:avLst/>
                    </a:prstGeom>
                    <a:noFill/>
                    <a:ln>
                      <a:noFill/>
                    </a:ln>
                  </pic:spPr>
                </pic:pic>
              </a:graphicData>
            </a:graphic>
          </wp:inline>
        </w:drawing>
      </w:r>
      <w:r w:rsidRPr="00604824">
        <w:rPr>
          <w:rStyle w:val="Funotenzeichen"/>
          <w:sz w:val="22"/>
        </w:rPr>
        <w:footnoteReference w:id="10"/>
      </w:r>
    </w:p>
    <w:p w14:paraId="2AF67E49" w14:textId="2FBAB417" w:rsidR="00604824" w:rsidRPr="00604824" w:rsidRDefault="0096549F" w:rsidP="0096549F">
      <w:pPr>
        <w:rPr>
          <w:sz w:val="22"/>
        </w:rPr>
      </w:pPr>
      <w:r w:rsidRPr="00604824">
        <w:rPr>
          <w:sz w:val="22"/>
        </w:rPr>
        <w:t xml:space="preserve">In diesem Kontext steht die Rede von der Bruchlinie, die durch das Gespräch hindurchgeht. </w:t>
      </w:r>
      <w:r w:rsidR="00604824" w:rsidRPr="00604824">
        <w:rPr>
          <w:sz w:val="22"/>
        </w:rPr>
        <w:t xml:space="preserve">Dieser Begriff markiert </w:t>
      </w:r>
      <w:r w:rsidRPr="00604824">
        <w:rPr>
          <w:sz w:val="22"/>
        </w:rPr>
        <w:t>jenen Perspektivenwechsel, der eintritt, wenn die spezielle Lebenslage, die Anlass des Gesprächs war, plötzlich in das Licht Gottes und seines Wortes gerückt wird</w:t>
      </w:r>
      <w:r w:rsidR="00604824" w:rsidRPr="00604824">
        <w:rPr>
          <w:sz w:val="22"/>
        </w:rPr>
        <w:t xml:space="preserve"> (was aber nicht g</w:t>
      </w:r>
      <w:r w:rsidR="00604824" w:rsidRPr="00604824">
        <w:rPr>
          <w:sz w:val="22"/>
        </w:rPr>
        <w:t>e</w:t>
      </w:r>
      <w:r w:rsidR="00604824" w:rsidRPr="00604824">
        <w:rPr>
          <w:sz w:val="22"/>
        </w:rPr>
        <w:t>waltsam durch den Seelsorger herbeigeführt wird)</w:t>
      </w:r>
      <w:r w:rsidRPr="00604824">
        <w:rPr>
          <w:sz w:val="22"/>
        </w:rPr>
        <w:t>.</w:t>
      </w:r>
      <w:r w:rsidR="00604824" w:rsidRPr="00604824">
        <w:rPr>
          <w:rStyle w:val="Funotenzeichen"/>
          <w:sz w:val="22"/>
        </w:rPr>
        <w:footnoteReference w:id="11"/>
      </w:r>
      <w:r w:rsidRPr="00604824">
        <w:rPr>
          <w:sz w:val="22"/>
        </w:rPr>
        <w:t xml:space="preserve"> Es geht darum, dass jedes Gespräch in der See</w:t>
      </w:r>
      <w:r w:rsidRPr="00604824">
        <w:rPr>
          <w:sz w:val="22"/>
        </w:rPr>
        <w:t>l</w:t>
      </w:r>
      <w:r w:rsidRPr="00604824">
        <w:rPr>
          <w:sz w:val="22"/>
        </w:rPr>
        <w:t xml:space="preserve">sorge </w:t>
      </w:r>
      <w:r w:rsidRPr="00604824">
        <w:rPr>
          <w:bCs/>
          <w:iCs/>
          <w:sz w:val="22"/>
        </w:rPr>
        <w:t>auf zwei Ebenen stattfindet</w:t>
      </w:r>
      <w:r w:rsidRPr="00604824">
        <w:rPr>
          <w:sz w:val="22"/>
        </w:rPr>
        <w:t>: zum einen auf der Ebene einer allgemein-menschlichen Lebensl</w:t>
      </w:r>
      <w:r w:rsidRPr="00604824">
        <w:rPr>
          <w:sz w:val="22"/>
        </w:rPr>
        <w:t>a</w:t>
      </w:r>
      <w:r w:rsidRPr="00604824">
        <w:rPr>
          <w:sz w:val="22"/>
        </w:rPr>
        <w:t xml:space="preserve">ge, zum anderen auf der Ebene des Wortes Gottes. </w:t>
      </w:r>
    </w:p>
    <w:p w14:paraId="6FE6702A" w14:textId="4D57789B" w:rsidR="0096549F" w:rsidRPr="0060382E" w:rsidRDefault="0096549F" w:rsidP="00604824">
      <w:pPr>
        <w:ind w:left="284"/>
        <w:rPr>
          <w:i/>
          <w:sz w:val="22"/>
        </w:rPr>
      </w:pPr>
      <w:r w:rsidRPr="0060382E">
        <w:rPr>
          <w:i/>
          <w:sz w:val="22"/>
        </w:rPr>
        <w:t>„Der Bruch im seelsorgerlichen Gespräch wird so zur Türe, die in ein neues Leben hinüberführt.“</w:t>
      </w:r>
      <w:r w:rsidRPr="0060382E">
        <w:rPr>
          <w:rStyle w:val="Funotenzeichen"/>
          <w:i/>
          <w:sz w:val="22"/>
        </w:rPr>
        <w:footnoteReference w:id="12"/>
      </w:r>
    </w:p>
    <w:p w14:paraId="2F6B8F0B" w14:textId="2060103E" w:rsidR="00BD69E4" w:rsidRDefault="00BD69E4" w:rsidP="00BD69E4">
      <w:pPr>
        <w:pStyle w:val="berschrift4"/>
        <w:jc w:val="center"/>
      </w:pPr>
      <w:bookmarkStart w:id="3" w:name="_Toc186639701"/>
      <w:r w:rsidRPr="00BD69E4">
        <w:rPr>
          <w:noProof/>
          <w:lang w:eastAsia="de-DE"/>
        </w:rPr>
        <w:drawing>
          <wp:inline distT="0" distB="0" distL="0" distR="0" wp14:anchorId="1814CD6F" wp14:editId="07195C80">
            <wp:extent cx="2931794" cy="2198846"/>
            <wp:effectExtent l="0" t="0" r="0" b="1143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357" cy="2199268"/>
                    </a:xfrm>
                    <a:prstGeom prst="rect">
                      <a:avLst/>
                    </a:prstGeom>
                    <a:noFill/>
                    <a:ln>
                      <a:noFill/>
                    </a:ln>
                  </pic:spPr>
                </pic:pic>
              </a:graphicData>
            </a:graphic>
          </wp:inline>
        </w:drawing>
      </w:r>
      <w:r w:rsidRPr="00BD69E4">
        <w:rPr>
          <w:b w:val="0"/>
          <w:i w:val="0"/>
          <w:color w:val="auto"/>
          <w:sz w:val="22"/>
          <w:vertAlign w:val="superscript"/>
        </w:rPr>
        <w:footnoteReference w:id="13"/>
      </w:r>
    </w:p>
    <w:p w14:paraId="1524367D" w14:textId="26338251" w:rsidR="0096549F" w:rsidRPr="003C329C" w:rsidRDefault="0096549F" w:rsidP="003C329C">
      <w:pPr>
        <w:ind w:left="284"/>
        <w:rPr>
          <w:i/>
          <w:sz w:val="22"/>
        </w:rPr>
      </w:pPr>
      <w:bookmarkStart w:id="4" w:name="OLE_LINK10"/>
      <w:bookmarkEnd w:id="3"/>
      <w:r w:rsidRPr="003C329C">
        <w:rPr>
          <w:i/>
          <w:sz w:val="22"/>
        </w:rPr>
        <w:t>„Thurneysens Rede vom Bruch markiert haarscharf und treffsicher, worum es in jedem helfenden Gespräch geht: nämliche empirische Vorfindlichkeiten zu überwinden und Neues aufscheinen zu lassen. Wo dies nicht geschieht, verkommt das Gespräch zum tautologischen Geplapper. Wenn vom ‚Bruch’ die Rede ist, dann höre ich: Es geht um Neues; dieses Neue fordert seinen Preis, es ist nicht umsonst zu haben; Veränderung stellt einen Eingriff dar.“</w:t>
      </w:r>
      <w:bookmarkEnd w:id="4"/>
      <w:r w:rsidR="003C329C" w:rsidRPr="003C329C">
        <w:rPr>
          <w:i/>
          <w:sz w:val="22"/>
        </w:rPr>
        <w:t xml:space="preserve"> (Albrecht Grözinger</w:t>
      </w:r>
      <w:r w:rsidRPr="003C329C">
        <w:rPr>
          <w:rStyle w:val="Funotenzeichen"/>
          <w:i/>
          <w:sz w:val="22"/>
        </w:rPr>
        <w:footnoteReference w:id="14"/>
      </w:r>
      <w:r w:rsidR="003C329C" w:rsidRPr="003C329C">
        <w:rPr>
          <w:i/>
          <w:sz w:val="22"/>
        </w:rPr>
        <w:t>)</w:t>
      </w:r>
    </w:p>
    <w:p w14:paraId="1962942A" w14:textId="147E5E35" w:rsidR="001C06CF" w:rsidRDefault="001C06CF" w:rsidP="001C06CF">
      <w:pPr>
        <w:jc w:val="center"/>
      </w:pPr>
      <w:r w:rsidRPr="001C06CF">
        <w:rPr>
          <w:noProof/>
          <w:lang w:eastAsia="de-DE"/>
        </w:rPr>
        <w:drawing>
          <wp:inline distT="0" distB="0" distL="0" distR="0" wp14:anchorId="4C631B86" wp14:editId="53B419CE">
            <wp:extent cx="3104092" cy="2328069"/>
            <wp:effectExtent l="0" t="0" r="0" b="8890"/>
            <wp:docPr id="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4092" cy="2328069"/>
                    </a:xfrm>
                    <a:prstGeom prst="rect">
                      <a:avLst/>
                    </a:prstGeom>
                    <a:noFill/>
                    <a:ln>
                      <a:noFill/>
                    </a:ln>
                  </pic:spPr>
                </pic:pic>
              </a:graphicData>
            </a:graphic>
          </wp:inline>
        </w:drawing>
      </w:r>
    </w:p>
    <w:p w14:paraId="5A0B900D" w14:textId="77777777" w:rsidR="0096549F" w:rsidRPr="0060382E" w:rsidRDefault="0096549F" w:rsidP="0096549F">
      <w:pPr>
        <w:pStyle w:val="berschrift4"/>
        <w:rPr>
          <w:sz w:val="22"/>
        </w:rPr>
      </w:pPr>
      <w:bookmarkStart w:id="5" w:name="_Toc186639702"/>
      <w:r w:rsidRPr="0060382E">
        <w:rPr>
          <w:sz w:val="22"/>
        </w:rPr>
        <w:t>Eine zweite Generation kerygmatisch orientierter Seelsorgekonzeptionen</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659"/>
      </w:tblGrid>
      <w:tr w:rsidR="00AD2771" w14:paraId="25295CC2" w14:textId="77777777" w:rsidTr="004C0020">
        <w:tc>
          <w:tcPr>
            <w:tcW w:w="6629" w:type="dxa"/>
          </w:tcPr>
          <w:p w14:paraId="5EF69692" w14:textId="4ECC4B47" w:rsidR="00AD2771" w:rsidRDefault="00AD2771" w:rsidP="00AD2771">
            <w:r w:rsidRPr="00AD2771">
              <w:rPr>
                <w:noProof/>
                <w:lang w:eastAsia="de-DE"/>
              </w:rPr>
              <w:drawing>
                <wp:inline distT="0" distB="0" distL="0" distR="0" wp14:anchorId="7CE7832D" wp14:editId="2CFABF4C">
                  <wp:extent cx="3913928" cy="2935447"/>
                  <wp:effectExtent l="0" t="0" r="0" b="11430"/>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5177" cy="2936383"/>
                          </a:xfrm>
                          <a:prstGeom prst="rect">
                            <a:avLst/>
                          </a:prstGeom>
                          <a:noFill/>
                          <a:ln>
                            <a:noFill/>
                          </a:ln>
                        </pic:spPr>
                      </pic:pic>
                    </a:graphicData>
                  </a:graphic>
                </wp:inline>
              </w:drawing>
            </w:r>
            <w:r w:rsidRPr="00AD2771">
              <w:rPr>
                <w:rStyle w:val="Funotenzeichen"/>
                <w:sz w:val="22"/>
              </w:rPr>
              <w:footnoteReference w:id="15"/>
            </w:r>
          </w:p>
        </w:tc>
        <w:tc>
          <w:tcPr>
            <w:tcW w:w="2659" w:type="dxa"/>
          </w:tcPr>
          <w:p w14:paraId="46B7903A" w14:textId="77777777" w:rsidR="00AD2771" w:rsidRDefault="00AD2771" w:rsidP="00AD2771">
            <w:pPr>
              <w:rPr>
                <w:sz w:val="22"/>
              </w:rPr>
            </w:pPr>
          </w:p>
          <w:p w14:paraId="6DE51F30" w14:textId="72F11806" w:rsidR="00AD2771" w:rsidRPr="00AD2771" w:rsidRDefault="00AD2771" w:rsidP="00AA3676">
            <w:pPr>
              <w:rPr>
                <w:vanish/>
                <w:sz w:val="22"/>
              </w:rPr>
            </w:pPr>
            <w:r w:rsidRPr="00AD2771">
              <w:rPr>
                <w:sz w:val="22"/>
              </w:rPr>
              <w:t>Die Bibel einzubringen ist nicht Pflicht oder „Hau</w:t>
            </w:r>
            <w:r w:rsidRPr="00AD2771">
              <w:rPr>
                <w:sz w:val="22"/>
              </w:rPr>
              <w:t>s</w:t>
            </w:r>
            <w:r w:rsidRPr="00AD2771">
              <w:rPr>
                <w:sz w:val="22"/>
              </w:rPr>
              <w:t>aufgabe“; aber d</w:t>
            </w:r>
            <w:r w:rsidR="00AA3676">
              <w:rPr>
                <w:sz w:val="22"/>
              </w:rPr>
              <w:t xml:space="preserve">ie Bibel ist eine unersetzliche </w:t>
            </w:r>
            <w:r w:rsidRPr="00AD2771">
              <w:rPr>
                <w:sz w:val="22"/>
              </w:rPr>
              <w:t>Kraf</w:t>
            </w:r>
            <w:r w:rsidRPr="00AD2771">
              <w:rPr>
                <w:sz w:val="22"/>
              </w:rPr>
              <w:t>t</w:t>
            </w:r>
            <w:r w:rsidRPr="00AD2771">
              <w:rPr>
                <w:sz w:val="22"/>
              </w:rPr>
              <w:t xml:space="preserve">quelle“ in der Seelsorge. </w:t>
            </w:r>
          </w:p>
          <w:p w14:paraId="09EA5B65" w14:textId="77777777" w:rsidR="00AD2771" w:rsidRPr="00AD2771" w:rsidRDefault="00AD2771" w:rsidP="00AA3676">
            <w:pPr>
              <w:pStyle w:val="Textkrper"/>
              <w:spacing w:line="276" w:lineRule="auto"/>
              <w:rPr>
                <w:sz w:val="22"/>
              </w:rPr>
            </w:pPr>
          </w:p>
          <w:p w14:paraId="34FB3B94" w14:textId="77777777" w:rsidR="00AD2771" w:rsidRDefault="00AD2771" w:rsidP="00AD2771"/>
        </w:tc>
      </w:tr>
    </w:tbl>
    <w:p w14:paraId="197198F0" w14:textId="77777777" w:rsidR="001A5C8E" w:rsidRPr="001A5C8E" w:rsidRDefault="001A5C8E" w:rsidP="001A5C8E">
      <w:pPr>
        <w:spacing w:after="120"/>
        <w:rPr>
          <w:sz w:val="22"/>
        </w:rPr>
      </w:pPr>
      <w:bookmarkStart w:id="8" w:name="OLE_LINK27"/>
      <w:bookmarkStart w:id="9" w:name="OLE_LINK34"/>
      <w:bookmarkStart w:id="10" w:name="_Toc186639704"/>
      <w:r w:rsidRPr="001A5C8E">
        <w:rPr>
          <w:sz w:val="22"/>
        </w:rPr>
        <w:t>In der Bibel wird die vergangene Seelsorge Gottes bezeugt in der Verheißung auf zukünftige Seelso</w:t>
      </w:r>
      <w:r w:rsidRPr="001A5C8E">
        <w:rPr>
          <w:sz w:val="22"/>
        </w:rPr>
        <w:t>r</w:t>
      </w:r>
      <w:r w:rsidRPr="001A5C8E">
        <w:rPr>
          <w:sz w:val="22"/>
        </w:rPr>
        <w:t>ge. So können wir die Geschichten der Seelsorge Gottes im Alten und Neuen Testament in gespan</w:t>
      </w:r>
      <w:r w:rsidRPr="001A5C8E">
        <w:rPr>
          <w:sz w:val="22"/>
        </w:rPr>
        <w:t>n</w:t>
      </w:r>
      <w:r w:rsidRPr="001A5C8E">
        <w:rPr>
          <w:sz w:val="22"/>
        </w:rPr>
        <w:t xml:space="preserve">ter Erwartung ihrer Wieder-Holung in der je neuen Gegenwart lesen – und anderen zusagen. Und wenn es zum Kairos kommt, verbindet sich die Seelsorge Gottes, wie sie in der Bibel bezeugt wird, mit dem inneren Erleben unseres Gesprächspartners, so dass er zu neuer Lebensgewissheit findet. </w:t>
      </w:r>
    </w:p>
    <w:p w14:paraId="3604EC54" w14:textId="77777777" w:rsidR="001A5C8E" w:rsidRPr="001A5C8E" w:rsidRDefault="001A5C8E" w:rsidP="001A5C8E">
      <w:pPr>
        <w:spacing w:after="120"/>
        <w:ind w:left="284"/>
        <w:rPr>
          <w:i/>
          <w:sz w:val="22"/>
        </w:rPr>
      </w:pPr>
      <w:r w:rsidRPr="001A5C8E">
        <w:rPr>
          <w:i/>
          <w:sz w:val="22"/>
        </w:rPr>
        <w:t>„Das seelsorgerliche Potential biblischer Geschichte und Geschichten liegt in den Verheißungen Gottes, die sich noch nicht erfüllt haben. Diese Geschichten sind noch nicht zu Ende. Sie haben o</w:t>
      </w:r>
      <w:r w:rsidRPr="001A5C8E">
        <w:rPr>
          <w:i/>
          <w:sz w:val="22"/>
        </w:rPr>
        <w:t>f</w:t>
      </w:r>
      <w:r w:rsidRPr="001A5C8E">
        <w:rPr>
          <w:i/>
          <w:sz w:val="22"/>
        </w:rPr>
        <w:t>fene Ränder. Darum tragen sie Seelsorge auch in unser Leben.“</w:t>
      </w:r>
      <w:bookmarkEnd w:id="8"/>
      <w:bookmarkEnd w:id="9"/>
      <w:r w:rsidRPr="001A5C8E">
        <w:rPr>
          <w:rStyle w:val="Funotenzeichen"/>
          <w:i/>
          <w:sz w:val="22"/>
        </w:rPr>
        <w:footnoteReference w:id="16"/>
      </w:r>
    </w:p>
    <w:p w14:paraId="75EB34BE" w14:textId="77777777" w:rsidR="001A5C8E" w:rsidRPr="001A5C8E" w:rsidRDefault="001A5C8E" w:rsidP="001A5C8E">
      <w:pPr>
        <w:spacing w:after="120"/>
        <w:rPr>
          <w:sz w:val="22"/>
        </w:rPr>
      </w:pPr>
      <w:r w:rsidRPr="001A5C8E">
        <w:rPr>
          <w:sz w:val="22"/>
        </w:rPr>
        <w:t>Damit solche „biblischen Interventionen“ überhaupt möglich werden, muss der Seelsorger...</w:t>
      </w:r>
    </w:p>
    <w:p w14:paraId="5B53623F" w14:textId="77777777" w:rsidR="001A5C8E" w:rsidRPr="001A5C8E" w:rsidRDefault="001A5C8E" w:rsidP="00B04646">
      <w:pPr>
        <w:pStyle w:val="Listenabsatz"/>
        <w:numPr>
          <w:ilvl w:val="0"/>
          <w:numId w:val="18"/>
        </w:numPr>
        <w:spacing w:after="120" w:line="264" w:lineRule="auto"/>
        <w:rPr>
          <w:sz w:val="22"/>
        </w:rPr>
      </w:pPr>
      <w:r w:rsidRPr="001A5C8E">
        <w:rPr>
          <w:sz w:val="22"/>
        </w:rPr>
        <w:t>... selbst in der Bibel zu Hause sein,</w:t>
      </w:r>
    </w:p>
    <w:p w14:paraId="28ECE33B" w14:textId="77777777" w:rsidR="001A5C8E" w:rsidRPr="001A5C8E" w:rsidRDefault="001A5C8E" w:rsidP="00B04646">
      <w:pPr>
        <w:pStyle w:val="Listenabsatz"/>
        <w:numPr>
          <w:ilvl w:val="0"/>
          <w:numId w:val="18"/>
        </w:numPr>
        <w:spacing w:after="120" w:line="264" w:lineRule="auto"/>
        <w:rPr>
          <w:sz w:val="22"/>
        </w:rPr>
      </w:pPr>
      <w:r w:rsidRPr="001A5C8E">
        <w:rPr>
          <w:sz w:val="22"/>
        </w:rPr>
        <w:t>... seine eigene Geschichte mit dem Glauben „unter den Füßen haben“,</w:t>
      </w:r>
    </w:p>
    <w:p w14:paraId="22D607D5" w14:textId="77777777" w:rsidR="001A5C8E" w:rsidRPr="001A5C8E" w:rsidRDefault="001A5C8E" w:rsidP="00B04646">
      <w:pPr>
        <w:pStyle w:val="Listenabsatz"/>
        <w:numPr>
          <w:ilvl w:val="0"/>
          <w:numId w:val="18"/>
        </w:numPr>
        <w:spacing w:after="120" w:line="264" w:lineRule="auto"/>
        <w:rPr>
          <w:sz w:val="22"/>
        </w:rPr>
      </w:pPr>
      <w:r w:rsidRPr="001A5C8E">
        <w:rPr>
          <w:sz w:val="22"/>
        </w:rPr>
        <w:t>... Übung in einer „dogmatischen Alltagskompetenz“</w:t>
      </w:r>
      <w:r w:rsidRPr="001A5C8E">
        <w:rPr>
          <w:rStyle w:val="Funotenzeichen"/>
          <w:sz w:val="22"/>
        </w:rPr>
        <w:footnoteReference w:id="17"/>
      </w:r>
      <w:r w:rsidRPr="001A5C8E">
        <w:rPr>
          <w:sz w:val="22"/>
        </w:rPr>
        <w:t xml:space="preserve"> haben</w:t>
      </w:r>
    </w:p>
    <w:p w14:paraId="07F72F1A" w14:textId="5F548CCF" w:rsidR="001A5C8E" w:rsidRPr="001A5C8E" w:rsidRDefault="001A5C8E" w:rsidP="00B04646">
      <w:pPr>
        <w:pStyle w:val="Listenabsatz"/>
        <w:numPr>
          <w:ilvl w:val="0"/>
          <w:numId w:val="18"/>
        </w:numPr>
        <w:spacing w:after="120" w:line="264" w:lineRule="auto"/>
        <w:rPr>
          <w:sz w:val="22"/>
        </w:rPr>
      </w:pPr>
      <w:r w:rsidRPr="001A5C8E">
        <w:rPr>
          <w:sz w:val="22"/>
        </w:rPr>
        <w:t>... Geduld haben, um auf den Kairos, den rechten Augenblick zu warten –  und es auch zu e</w:t>
      </w:r>
      <w:r w:rsidRPr="001A5C8E">
        <w:rPr>
          <w:sz w:val="22"/>
        </w:rPr>
        <w:t>r</w:t>
      </w:r>
      <w:r w:rsidRPr="001A5C8E">
        <w:rPr>
          <w:sz w:val="22"/>
        </w:rPr>
        <w:t>tragen, wenn dieser Augenblick einmal ausbleibt.</w:t>
      </w:r>
    </w:p>
    <w:p w14:paraId="7434A4FB" w14:textId="77777777" w:rsidR="0096549F" w:rsidRPr="0060382E" w:rsidRDefault="0096549F" w:rsidP="0096549F">
      <w:pPr>
        <w:pStyle w:val="berschrift4"/>
        <w:rPr>
          <w:sz w:val="22"/>
        </w:rPr>
      </w:pPr>
      <w:r w:rsidRPr="0060382E">
        <w:rPr>
          <w:sz w:val="22"/>
        </w:rPr>
        <w:t>Noch einmal: Das Erbe der kerygmatischen Seelsorge</w:t>
      </w:r>
      <w:bookmarkEnd w:id="10"/>
    </w:p>
    <w:p w14:paraId="3B9E5076" w14:textId="3238CCDB" w:rsidR="00C41BE5" w:rsidRPr="00C41BE5" w:rsidRDefault="0096549F" w:rsidP="00C41BE5">
      <w:pPr>
        <w:spacing w:after="120"/>
        <w:rPr>
          <w:sz w:val="22"/>
        </w:rPr>
      </w:pPr>
      <w:r w:rsidRPr="00C41BE5">
        <w:rPr>
          <w:b/>
          <w:sz w:val="22"/>
        </w:rPr>
        <w:t>Das „extra nos“</w:t>
      </w:r>
      <w:r w:rsidRPr="00C41BE5">
        <w:rPr>
          <w:sz w:val="22"/>
        </w:rPr>
        <w:t xml:space="preserve"> </w:t>
      </w:r>
      <w:r w:rsidR="00C41BE5" w:rsidRPr="00C41BE5">
        <w:rPr>
          <w:sz w:val="22"/>
        </w:rPr>
        <w:t xml:space="preserve">ist in der Seelsorgelehre bleibend umstritten: </w:t>
      </w:r>
      <w:r w:rsidRPr="00C41BE5">
        <w:rPr>
          <w:sz w:val="22"/>
        </w:rPr>
        <w:t xml:space="preserve">Thurneysens </w:t>
      </w:r>
      <w:bookmarkStart w:id="11" w:name="OLE_LINK28"/>
      <w:bookmarkStart w:id="12" w:name="OLE_LINK29"/>
      <w:bookmarkStart w:id="13" w:name="OLE_LINK32"/>
      <w:bookmarkStart w:id="14" w:name="OLE_LINK33"/>
      <w:r w:rsidR="00C41BE5" w:rsidRPr="00C41BE5">
        <w:rPr>
          <w:sz w:val="22"/>
        </w:rPr>
        <w:t xml:space="preserve">hermeneutisches </w:t>
      </w:r>
      <w:r w:rsidR="00C41BE5" w:rsidRPr="00C41BE5">
        <w:rPr>
          <w:i/>
          <w:sz w:val="22"/>
        </w:rPr>
        <w:t xml:space="preserve">ceterum censeo </w:t>
      </w:r>
      <w:r w:rsidR="00C41BE5" w:rsidRPr="00C41BE5">
        <w:rPr>
          <w:sz w:val="22"/>
        </w:rPr>
        <w:t>lautet: biblischer Realismus versus Idealismus!</w:t>
      </w:r>
    </w:p>
    <w:p w14:paraId="22B89CE1" w14:textId="43818886" w:rsidR="0096549F" w:rsidRPr="00C41BE5" w:rsidRDefault="0096549F" w:rsidP="00C41BE5">
      <w:pPr>
        <w:spacing w:after="120"/>
        <w:ind w:left="284"/>
        <w:rPr>
          <w:i/>
          <w:sz w:val="22"/>
        </w:rPr>
      </w:pPr>
      <w:r w:rsidRPr="00C41BE5">
        <w:rPr>
          <w:i/>
          <w:sz w:val="22"/>
        </w:rPr>
        <w:t>„Tief misstrauisch geworden gegenüber der idealistischen Sicht des Menschen als eine zur Reifung bestimmte und fähige intakte Persönlichkeit, ruft Thurneysen die Seelsorge zum Realismus.“</w:t>
      </w:r>
      <w:bookmarkEnd w:id="11"/>
      <w:bookmarkEnd w:id="12"/>
      <w:bookmarkEnd w:id="13"/>
      <w:bookmarkEnd w:id="14"/>
      <w:r w:rsidRPr="00C41BE5">
        <w:rPr>
          <w:rStyle w:val="Funotenzeichen"/>
          <w:i/>
          <w:sz w:val="22"/>
        </w:rPr>
        <w:footnoteReference w:id="18"/>
      </w:r>
    </w:p>
    <w:p w14:paraId="1F67207D" w14:textId="1192901B" w:rsidR="0096549F" w:rsidRPr="00C41BE5" w:rsidRDefault="00C41BE5" w:rsidP="00B04646">
      <w:pPr>
        <w:spacing w:after="120"/>
        <w:rPr>
          <w:sz w:val="22"/>
        </w:rPr>
      </w:pPr>
      <w:r w:rsidRPr="00C41BE5">
        <w:rPr>
          <w:sz w:val="22"/>
        </w:rPr>
        <w:t xml:space="preserve">Zum biblischen Realismus gehört auch eine spezifische Sicht auf den Menschen, wie die Bibel ihn sieht: Dieser bedarf, dass er Gottes Wort von außerhalb seiner selbst hören muss, damit seine Seele gesund wird. </w:t>
      </w:r>
      <w:r w:rsidR="0096549F" w:rsidRPr="00C41BE5">
        <w:rPr>
          <w:sz w:val="22"/>
        </w:rPr>
        <w:t>Damit wird jede Hoffnung auf eine heilsame religiöse Selbstfindung des Individuums, auf ein rettendes „in uns“, auf den „Geistesmenschen“, der in jedem Menschen „schlummert“</w:t>
      </w:r>
      <w:r w:rsidR="0096549F" w:rsidRPr="00C41BE5">
        <w:rPr>
          <w:rStyle w:val="Funotenzeichen"/>
          <w:sz w:val="22"/>
        </w:rPr>
        <w:footnoteReference w:id="19"/>
      </w:r>
      <w:r w:rsidR="0096549F" w:rsidRPr="00C41BE5">
        <w:rPr>
          <w:sz w:val="22"/>
        </w:rPr>
        <w:t xml:space="preserve">, abgewiesen. </w:t>
      </w:r>
    </w:p>
    <w:p w14:paraId="34B57089" w14:textId="022BE4C0" w:rsidR="0096549F" w:rsidRPr="00B04646" w:rsidRDefault="0096549F" w:rsidP="00B04646">
      <w:pPr>
        <w:spacing w:after="120"/>
        <w:rPr>
          <w:sz w:val="22"/>
        </w:rPr>
      </w:pPr>
      <w:bookmarkStart w:id="15" w:name="_Toc186639706"/>
      <w:r w:rsidRPr="00B04646">
        <w:rPr>
          <w:b/>
          <w:sz w:val="22"/>
        </w:rPr>
        <w:t>Gott als Subjekt der Seelsorge</w:t>
      </w:r>
      <w:bookmarkEnd w:id="15"/>
      <w:r w:rsidR="00B04646" w:rsidRPr="00B04646">
        <w:rPr>
          <w:b/>
          <w:sz w:val="22"/>
        </w:rPr>
        <w:t xml:space="preserve">: </w:t>
      </w:r>
      <w:r w:rsidRPr="00B04646">
        <w:rPr>
          <w:sz w:val="22"/>
        </w:rPr>
        <w:t>Seelsorger und Ratsuchende und das gemeinsame, im Hor</w:t>
      </w:r>
      <w:r w:rsidRPr="00B04646">
        <w:rPr>
          <w:sz w:val="22"/>
        </w:rPr>
        <w:t>i</w:t>
      </w:r>
      <w:r w:rsidRPr="00B04646">
        <w:rPr>
          <w:sz w:val="22"/>
        </w:rPr>
        <w:t>zont des christlichen Glaubens betrachtete Thema werden erwartungsvoll auf Gott selbst bezogen</w:t>
      </w:r>
      <w:proofErr w:type="gramStart"/>
      <w:r w:rsidRPr="00B04646">
        <w:rPr>
          <w:sz w:val="22"/>
        </w:rPr>
        <w:t>, der</w:t>
      </w:r>
      <w:proofErr w:type="gramEnd"/>
      <w:r w:rsidRPr="00B04646">
        <w:rPr>
          <w:sz w:val="22"/>
        </w:rPr>
        <w:t xml:space="preserve"> sich in das G</w:t>
      </w:r>
      <w:r w:rsidRPr="00B04646">
        <w:rPr>
          <w:sz w:val="22"/>
        </w:rPr>
        <w:t>e</w:t>
      </w:r>
      <w:r w:rsidRPr="00B04646">
        <w:rPr>
          <w:sz w:val="22"/>
        </w:rPr>
        <w:t>schehen einmischt und es in ein neues Licht rückt.</w:t>
      </w:r>
      <w:r w:rsidRPr="00B04646">
        <w:rPr>
          <w:rStyle w:val="Funotenzeichen"/>
          <w:sz w:val="22"/>
        </w:rPr>
        <w:footnoteReference w:id="20"/>
      </w:r>
    </w:p>
    <w:p w14:paraId="68F344C2" w14:textId="4A571D7B" w:rsidR="00B04646" w:rsidRPr="00B04646" w:rsidRDefault="00B04646" w:rsidP="00B04646">
      <w:pPr>
        <w:jc w:val="center"/>
        <w:rPr>
          <w:b/>
        </w:rPr>
      </w:pPr>
      <w:r w:rsidRPr="00B04646">
        <w:rPr>
          <w:b/>
        </w:rPr>
        <w:drawing>
          <wp:inline distT="0" distB="0" distL="0" distR="0" wp14:anchorId="64D41F1E" wp14:editId="00FFCBC6">
            <wp:extent cx="3383492" cy="2537619"/>
            <wp:effectExtent l="0" t="0" r="0" b="254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492" cy="2537619"/>
                    </a:xfrm>
                    <a:prstGeom prst="rect">
                      <a:avLst/>
                    </a:prstGeom>
                    <a:noFill/>
                    <a:ln>
                      <a:noFill/>
                    </a:ln>
                  </pic:spPr>
                </pic:pic>
              </a:graphicData>
            </a:graphic>
          </wp:inline>
        </w:drawing>
      </w:r>
    </w:p>
    <w:p w14:paraId="7695CFD0" w14:textId="5508B70F" w:rsidR="00B04646" w:rsidRPr="0075307A" w:rsidRDefault="0096549F" w:rsidP="0075307A">
      <w:pPr>
        <w:spacing w:after="120"/>
        <w:rPr>
          <w:sz w:val="22"/>
        </w:rPr>
      </w:pPr>
      <w:r w:rsidRPr="0075307A">
        <w:rPr>
          <w:i/>
          <w:sz w:val="22"/>
        </w:rPr>
        <w:t xml:space="preserve">Wie verhält sich Gottes Anwesenheit und eigene Seelsorge zu unserer Seelsorge? </w:t>
      </w:r>
      <w:r w:rsidRPr="0075307A">
        <w:rPr>
          <w:sz w:val="22"/>
        </w:rPr>
        <w:t>Gott und Mensch zu unterscheiden, ist nötig, Gott und Mensch zu trennen, ist unbiblisch. Wer unte</w:t>
      </w:r>
      <w:r w:rsidRPr="0075307A">
        <w:rPr>
          <w:sz w:val="22"/>
        </w:rPr>
        <w:t>r</w:t>
      </w:r>
      <w:r w:rsidRPr="0075307A">
        <w:rPr>
          <w:sz w:val="22"/>
        </w:rPr>
        <w:t xml:space="preserve">scheidet, weiß: Es muss noch ein ganz Anderer für dieses Menschen Seele sorgen! Und er </w:t>
      </w:r>
      <w:r w:rsidR="00B04646" w:rsidRPr="0075307A">
        <w:rPr>
          <w:sz w:val="22"/>
        </w:rPr>
        <w:t>erwartet</w:t>
      </w:r>
      <w:r w:rsidRPr="0075307A">
        <w:rPr>
          <w:sz w:val="22"/>
        </w:rPr>
        <w:t>, dass Gott Entsche</w:t>
      </w:r>
      <w:r w:rsidRPr="0075307A">
        <w:rPr>
          <w:sz w:val="22"/>
        </w:rPr>
        <w:t>i</w:t>
      </w:r>
      <w:r w:rsidRPr="0075307A">
        <w:rPr>
          <w:sz w:val="22"/>
        </w:rPr>
        <w:t xml:space="preserve">dendes tut. </w:t>
      </w:r>
      <w:r w:rsidR="008B4A0B" w:rsidRPr="0075307A">
        <w:rPr>
          <w:sz w:val="22"/>
        </w:rPr>
        <w:t>Die</w:t>
      </w:r>
      <w:r w:rsidRPr="0075307A">
        <w:rPr>
          <w:sz w:val="22"/>
        </w:rPr>
        <w:t xml:space="preserve"> Seelsorge Gottes </w:t>
      </w:r>
      <w:r w:rsidRPr="0075307A">
        <w:rPr>
          <w:i/>
          <w:sz w:val="22"/>
        </w:rPr>
        <w:t>kann</w:t>
      </w:r>
      <w:r w:rsidRPr="0075307A">
        <w:rPr>
          <w:sz w:val="22"/>
        </w:rPr>
        <w:t xml:space="preserve"> durchaus „in, mit und unter“ unserer Seelsorge g</w:t>
      </w:r>
      <w:r w:rsidRPr="0075307A">
        <w:rPr>
          <w:sz w:val="22"/>
        </w:rPr>
        <w:t>e</w:t>
      </w:r>
      <w:r w:rsidRPr="0075307A">
        <w:rPr>
          <w:sz w:val="22"/>
        </w:rPr>
        <w:t xml:space="preserve">schehen – mit dem o.a. Vorbehalt. Sie </w:t>
      </w:r>
      <w:r w:rsidRPr="0075307A">
        <w:rPr>
          <w:i/>
          <w:sz w:val="22"/>
        </w:rPr>
        <w:t>kann</w:t>
      </w:r>
      <w:r w:rsidRPr="0075307A">
        <w:rPr>
          <w:sz w:val="22"/>
        </w:rPr>
        <w:t xml:space="preserve"> sich aber auch ohne unser Zutun am anderen ereignen. </w:t>
      </w:r>
    </w:p>
    <w:p w14:paraId="71E10942" w14:textId="77777777" w:rsidR="0075307A" w:rsidRPr="0075307A" w:rsidRDefault="0096549F" w:rsidP="0075307A">
      <w:pPr>
        <w:spacing w:after="120"/>
        <w:rPr>
          <w:sz w:val="20"/>
        </w:rPr>
      </w:pPr>
      <w:proofErr w:type="spellStart"/>
      <w:r w:rsidRPr="0075307A">
        <w:rPr>
          <w:sz w:val="20"/>
        </w:rPr>
        <w:t>Thurneysen</w:t>
      </w:r>
      <w:proofErr w:type="spellEnd"/>
      <w:r w:rsidRPr="0075307A">
        <w:rPr>
          <w:sz w:val="20"/>
        </w:rPr>
        <w:t xml:space="preserve"> wurde nicht unerheblich durch seine Kontakte zum jüngeren </w:t>
      </w:r>
      <w:r w:rsidR="00AB7E66" w:rsidRPr="0075307A">
        <w:rPr>
          <w:sz w:val="20"/>
        </w:rPr>
        <w:t xml:space="preserve">Johann Christoph </w:t>
      </w:r>
      <w:proofErr w:type="spellStart"/>
      <w:r w:rsidRPr="0075307A">
        <w:rPr>
          <w:sz w:val="20"/>
        </w:rPr>
        <w:t>Blu</w:t>
      </w:r>
      <w:r w:rsidRPr="0075307A">
        <w:rPr>
          <w:sz w:val="20"/>
        </w:rPr>
        <w:t>m</w:t>
      </w:r>
      <w:r w:rsidRPr="0075307A">
        <w:rPr>
          <w:sz w:val="20"/>
        </w:rPr>
        <w:t>hardt</w:t>
      </w:r>
      <w:proofErr w:type="spellEnd"/>
      <w:r w:rsidRPr="0075307A">
        <w:rPr>
          <w:sz w:val="20"/>
        </w:rPr>
        <w:t xml:space="preserve"> geprägt. Bei </w:t>
      </w:r>
      <w:r w:rsidR="0075307A" w:rsidRPr="0075307A">
        <w:rPr>
          <w:sz w:val="20"/>
        </w:rPr>
        <w:t xml:space="preserve">ihm </w:t>
      </w:r>
      <w:r w:rsidRPr="0075307A">
        <w:rPr>
          <w:sz w:val="20"/>
        </w:rPr>
        <w:t>spielt diese gerade skizzierte Perspektive eine wesentli</w:t>
      </w:r>
      <w:r w:rsidR="0075307A" w:rsidRPr="0075307A">
        <w:rPr>
          <w:sz w:val="20"/>
        </w:rPr>
        <w:t>che Rolle in der See</w:t>
      </w:r>
      <w:r w:rsidR="0075307A" w:rsidRPr="0075307A">
        <w:rPr>
          <w:sz w:val="20"/>
        </w:rPr>
        <w:t>l</w:t>
      </w:r>
      <w:r w:rsidR="0075307A" w:rsidRPr="0075307A">
        <w:rPr>
          <w:sz w:val="20"/>
        </w:rPr>
        <w:t xml:space="preserve">sorge. </w:t>
      </w:r>
      <w:r w:rsidRPr="0075307A">
        <w:rPr>
          <w:sz w:val="20"/>
        </w:rPr>
        <w:t xml:space="preserve">Einem Kranken, der bei ihm Hilfe suchte, antwortete er: </w:t>
      </w:r>
      <w:bookmarkStart w:id="16" w:name="OLE_LINK30"/>
      <w:bookmarkStart w:id="17" w:name="OLE_LINK31"/>
      <w:bookmarkStart w:id="18" w:name="OLE_LINK35"/>
    </w:p>
    <w:p w14:paraId="73803F12" w14:textId="612D1878" w:rsidR="0096549F" w:rsidRPr="0075307A" w:rsidRDefault="0096549F" w:rsidP="0075307A">
      <w:pPr>
        <w:spacing w:after="120"/>
        <w:ind w:left="284"/>
        <w:rPr>
          <w:i/>
          <w:sz w:val="20"/>
        </w:rPr>
      </w:pPr>
      <w:r w:rsidRPr="0075307A">
        <w:rPr>
          <w:i/>
          <w:sz w:val="20"/>
        </w:rPr>
        <w:t>„Sie gesund zu m</w:t>
      </w:r>
      <w:r w:rsidRPr="0075307A">
        <w:rPr>
          <w:i/>
          <w:sz w:val="20"/>
        </w:rPr>
        <w:t>a</w:t>
      </w:r>
      <w:r w:rsidRPr="0075307A">
        <w:rPr>
          <w:i/>
          <w:sz w:val="20"/>
        </w:rPr>
        <w:t>chen, geht über meine Kraft; aber wir wollen miteinander zu einem gehen, der’s kann.“</w:t>
      </w:r>
      <w:bookmarkEnd w:id="16"/>
      <w:bookmarkEnd w:id="17"/>
      <w:bookmarkEnd w:id="18"/>
      <w:r w:rsidRPr="0075307A">
        <w:rPr>
          <w:rStyle w:val="Funotenzeichen"/>
          <w:i/>
          <w:sz w:val="20"/>
        </w:rPr>
        <w:footnoteReference w:id="21"/>
      </w:r>
    </w:p>
    <w:p w14:paraId="1A0085A2" w14:textId="3DAB1C48" w:rsidR="0096549F" w:rsidRPr="0075307A" w:rsidRDefault="0075307A" w:rsidP="0075307A">
      <w:pPr>
        <w:spacing w:after="120"/>
        <w:rPr>
          <w:sz w:val="20"/>
        </w:rPr>
      </w:pPr>
      <w:r w:rsidRPr="0075307A">
        <w:rPr>
          <w:sz w:val="20"/>
        </w:rPr>
        <w:t xml:space="preserve">In diesem Sinne gilt: </w:t>
      </w:r>
      <w:r w:rsidR="0096549F" w:rsidRPr="0075307A">
        <w:rPr>
          <w:sz w:val="20"/>
        </w:rPr>
        <w:t>„Seelsorge ist Beten.“</w:t>
      </w:r>
      <w:r w:rsidR="0096549F" w:rsidRPr="0075307A">
        <w:rPr>
          <w:rStyle w:val="Funotenzeichen"/>
          <w:sz w:val="20"/>
        </w:rPr>
        <w:footnoteReference w:id="22"/>
      </w:r>
    </w:p>
    <w:p w14:paraId="6FDEA546" w14:textId="17B0D6C9" w:rsidR="0096549F" w:rsidRPr="00FA025B" w:rsidRDefault="0096549F" w:rsidP="00FA025B">
      <w:pPr>
        <w:pStyle w:val="berschrift1"/>
        <w:rPr>
          <w:noProof/>
        </w:rPr>
      </w:pPr>
      <w:r>
        <w:rPr>
          <w:sz w:val="32"/>
        </w:rPr>
        <w:fldChar w:fldCharType="begin"/>
      </w:r>
      <w:r>
        <w:instrText xml:space="preserve"> ADDIN EN.REFLIST </w:instrText>
      </w:r>
      <w:r>
        <w:rPr>
          <w:sz w:val="32"/>
        </w:rPr>
        <w:fldChar w:fldCharType="separate"/>
      </w:r>
      <w:r w:rsidRPr="0036116B">
        <w:rPr>
          <w:noProof/>
        </w:rPr>
        <w:t>Literaturliste</w:t>
      </w:r>
    </w:p>
    <w:p w14:paraId="6C815157" w14:textId="77777777" w:rsidR="0096549F" w:rsidRPr="00FA025B" w:rsidRDefault="0096549F" w:rsidP="0096549F">
      <w:pPr>
        <w:spacing w:after="0" w:line="240" w:lineRule="auto"/>
        <w:ind w:left="720" w:hanging="720"/>
        <w:jc w:val="both"/>
        <w:rPr>
          <w:b/>
          <w:noProof/>
          <w:sz w:val="20"/>
          <w:szCs w:val="20"/>
        </w:rPr>
      </w:pPr>
      <w:r w:rsidRPr="00FA025B">
        <w:rPr>
          <w:b/>
          <w:noProof/>
          <w:sz w:val="20"/>
          <w:szCs w:val="20"/>
        </w:rPr>
        <w:t xml:space="preserve">Bukowski, Peter: </w:t>
      </w:r>
      <w:r w:rsidRPr="00FA025B">
        <w:rPr>
          <w:b/>
          <w:i/>
          <w:noProof/>
          <w:sz w:val="20"/>
          <w:szCs w:val="20"/>
        </w:rPr>
        <w:t>Die Bibel ins Gespräch bringen</w:t>
      </w:r>
      <w:r w:rsidRPr="00FA025B">
        <w:rPr>
          <w:b/>
          <w:noProof/>
          <w:sz w:val="20"/>
          <w:szCs w:val="20"/>
        </w:rPr>
        <w:t xml:space="preserve">. Neukirchen-Vluyn 4. Aufl. 1999 </w:t>
      </w:r>
    </w:p>
    <w:p w14:paraId="381A6D38"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 </w:t>
      </w:r>
      <w:r w:rsidRPr="002E3E44">
        <w:rPr>
          <w:i/>
          <w:noProof/>
          <w:sz w:val="20"/>
          <w:szCs w:val="20"/>
        </w:rPr>
        <w:t>Die christliche Tradition im Blickpunkt der Seelsorge</w:t>
      </w:r>
      <w:r w:rsidRPr="002E3E44">
        <w:rPr>
          <w:noProof/>
          <w:sz w:val="20"/>
          <w:szCs w:val="20"/>
        </w:rPr>
        <w:t xml:space="preserve">. In: Wilfried Engemann (Hg.): </w:t>
      </w:r>
      <w:r w:rsidRPr="002E3E44">
        <w:rPr>
          <w:i/>
          <w:noProof/>
          <w:sz w:val="20"/>
          <w:szCs w:val="20"/>
        </w:rPr>
        <w:t xml:space="preserve">Handbuch der Seelsorge. Grundlagen und Profile. </w:t>
      </w:r>
      <w:r w:rsidRPr="002E3E44">
        <w:rPr>
          <w:noProof/>
          <w:sz w:val="20"/>
          <w:szCs w:val="20"/>
        </w:rPr>
        <w:t xml:space="preserve">Leipzig 2007, 187-201 </w:t>
      </w:r>
    </w:p>
    <w:p w14:paraId="043E9595"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Giebel, Michael: </w:t>
      </w:r>
      <w:r w:rsidRPr="002E3E44">
        <w:rPr>
          <w:i/>
          <w:noProof/>
          <w:sz w:val="20"/>
          <w:szCs w:val="20"/>
        </w:rPr>
        <w:t>Predigt zwischen Kerygma und Kunst: Fundamentaltheologische Überlegungen zu den Herausforderungen für Homiletik in der Postmoderne</w:t>
      </w:r>
      <w:r w:rsidRPr="002E3E44">
        <w:rPr>
          <w:noProof/>
          <w:sz w:val="20"/>
          <w:szCs w:val="20"/>
        </w:rPr>
        <w:t>. Neukirchen-Vluyn 2009 (BEG 10)</w:t>
      </w:r>
    </w:p>
    <w:p w14:paraId="6FFD37BD"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Gräb, Wilhelm: </w:t>
      </w:r>
      <w:r w:rsidRPr="002E3E44">
        <w:rPr>
          <w:i/>
          <w:noProof/>
          <w:sz w:val="20"/>
          <w:szCs w:val="20"/>
        </w:rPr>
        <w:t>Lebensgeschichten - Lebensentwürfe - Sinndeutungen. Eine praktische Theologie gelebter Religion</w:t>
      </w:r>
      <w:r w:rsidRPr="002E3E44">
        <w:rPr>
          <w:noProof/>
          <w:sz w:val="20"/>
          <w:szCs w:val="20"/>
        </w:rPr>
        <w:t xml:space="preserve">. Gütersloh 1998 </w:t>
      </w:r>
    </w:p>
    <w:p w14:paraId="605039DB"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Grözinger, Albrecht: </w:t>
      </w:r>
      <w:r w:rsidRPr="002E3E44">
        <w:rPr>
          <w:i/>
          <w:noProof/>
          <w:sz w:val="20"/>
          <w:szCs w:val="20"/>
        </w:rPr>
        <w:t>Differenz-Erfahrung. Ein Essay</w:t>
      </w:r>
      <w:r w:rsidRPr="002E3E44">
        <w:rPr>
          <w:noProof/>
          <w:sz w:val="20"/>
          <w:szCs w:val="20"/>
        </w:rPr>
        <w:t xml:space="preserve">. Waltrop 1994 </w:t>
      </w:r>
    </w:p>
    <w:p w14:paraId="00C86B7E"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 </w:t>
      </w:r>
      <w:r w:rsidRPr="002E3E44">
        <w:rPr>
          <w:i/>
          <w:noProof/>
          <w:sz w:val="20"/>
          <w:szCs w:val="20"/>
        </w:rPr>
        <w:t>Eduard Thurneysen</w:t>
      </w:r>
      <w:r w:rsidRPr="002E3E44">
        <w:rPr>
          <w:noProof/>
          <w:sz w:val="20"/>
          <w:szCs w:val="20"/>
        </w:rPr>
        <w:t xml:space="preserve">. In: Christian Möller (Hg.): </w:t>
      </w:r>
      <w:r w:rsidRPr="002E3E44">
        <w:rPr>
          <w:i/>
          <w:noProof/>
          <w:sz w:val="20"/>
          <w:szCs w:val="20"/>
        </w:rPr>
        <w:t xml:space="preserve">Geschichte der Seelsorge in Einzelporträts. </w:t>
      </w:r>
      <w:r w:rsidRPr="002E3E44">
        <w:rPr>
          <w:noProof/>
          <w:sz w:val="20"/>
          <w:szCs w:val="20"/>
        </w:rPr>
        <w:t xml:space="preserve">Neukirchen-Vluyn 1996, Bd. 3, 277-294 </w:t>
      </w:r>
    </w:p>
    <w:p w14:paraId="23D06797"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Hauschildt, Eberhard: </w:t>
      </w:r>
      <w:r w:rsidRPr="002E3E44">
        <w:rPr>
          <w:i/>
          <w:noProof/>
          <w:sz w:val="20"/>
          <w:szCs w:val="20"/>
        </w:rPr>
        <w:t>Seelsorgelehre</w:t>
      </w:r>
      <w:r w:rsidRPr="002E3E44">
        <w:rPr>
          <w:noProof/>
          <w:sz w:val="20"/>
          <w:szCs w:val="20"/>
        </w:rPr>
        <w:t>. In: TRE 31 (1999), 54-74</w:t>
      </w:r>
    </w:p>
    <w:p w14:paraId="0929CABC" w14:textId="77777777" w:rsidR="0096549F" w:rsidRPr="002E3E44" w:rsidRDefault="0096549F" w:rsidP="0096549F">
      <w:pPr>
        <w:spacing w:after="0" w:line="240" w:lineRule="auto"/>
        <w:ind w:left="720" w:hanging="720"/>
        <w:jc w:val="both"/>
        <w:rPr>
          <w:noProof/>
          <w:sz w:val="20"/>
          <w:szCs w:val="20"/>
        </w:rPr>
      </w:pPr>
      <w:r w:rsidRPr="002E3E44">
        <w:rPr>
          <w:noProof/>
          <w:sz w:val="20"/>
          <w:szCs w:val="20"/>
        </w:rPr>
        <w:t xml:space="preserve">Ising, Dieter: </w:t>
      </w:r>
      <w:r w:rsidRPr="002E3E44">
        <w:rPr>
          <w:i/>
          <w:noProof/>
          <w:sz w:val="20"/>
          <w:szCs w:val="20"/>
        </w:rPr>
        <w:t>Johann Christoph Blumhardt</w:t>
      </w:r>
      <w:r w:rsidRPr="002E3E44">
        <w:rPr>
          <w:noProof/>
          <w:sz w:val="20"/>
          <w:szCs w:val="20"/>
        </w:rPr>
        <w:t xml:space="preserve">. In: Christian Möller (Hg.): </w:t>
      </w:r>
      <w:r w:rsidRPr="002E3E44">
        <w:rPr>
          <w:i/>
          <w:noProof/>
          <w:sz w:val="20"/>
          <w:szCs w:val="20"/>
        </w:rPr>
        <w:t xml:space="preserve">Geschichte der Seelsorge in Einzelporträts. </w:t>
      </w:r>
      <w:r w:rsidRPr="002E3E44">
        <w:rPr>
          <w:noProof/>
          <w:sz w:val="20"/>
          <w:szCs w:val="20"/>
        </w:rPr>
        <w:t xml:space="preserve">Göttingen 1996, Bd. 1, 118-136 </w:t>
      </w:r>
    </w:p>
    <w:p w14:paraId="4CF68031" w14:textId="77777777" w:rsidR="0096549F" w:rsidRPr="002E3E44" w:rsidRDefault="0096549F" w:rsidP="0096549F">
      <w:pPr>
        <w:spacing w:after="0" w:line="240" w:lineRule="auto"/>
        <w:ind w:left="720" w:hanging="720"/>
        <w:jc w:val="both"/>
        <w:rPr>
          <w:noProof/>
          <w:sz w:val="20"/>
          <w:szCs w:val="20"/>
        </w:rPr>
      </w:pPr>
      <w:bookmarkStart w:id="19" w:name="_ENREF_16"/>
      <w:r w:rsidRPr="002E3E44">
        <w:rPr>
          <w:noProof/>
          <w:sz w:val="20"/>
          <w:szCs w:val="20"/>
        </w:rPr>
        <w:t xml:space="preserve">Karle, Isolde:  </w:t>
      </w:r>
      <w:r w:rsidRPr="002E3E44">
        <w:rPr>
          <w:i/>
          <w:noProof/>
          <w:sz w:val="20"/>
          <w:szCs w:val="20"/>
        </w:rPr>
        <w:t>Seelsorge im Horizont der Hoffnung. Eduard Thurneysens Seelsorgelehre in systemtheoretischer Perspektive</w:t>
      </w:r>
      <w:r w:rsidRPr="002E3E44">
        <w:rPr>
          <w:noProof/>
          <w:sz w:val="20"/>
          <w:szCs w:val="20"/>
        </w:rPr>
        <w:t>. EvTh 63 (2003), 165-181</w:t>
      </w:r>
      <w:bookmarkEnd w:id="19"/>
    </w:p>
    <w:p w14:paraId="27A0AB89" w14:textId="77777777" w:rsidR="0096549F" w:rsidRPr="002E3E44" w:rsidRDefault="0096549F" w:rsidP="0096549F">
      <w:pPr>
        <w:spacing w:after="0" w:line="240" w:lineRule="auto"/>
        <w:ind w:left="720" w:hanging="720"/>
        <w:jc w:val="both"/>
        <w:rPr>
          <w:noProof/>
          <w:sz w:val="20"/>
          <w:szCs w:val="20"/>
        </w:rPr>
      </w:pPr>
      <w:bookmarkStart w:id="20" w:name="_ENREF_17"/>
      <w:r w:rsidRPr="002E3E44">
        <w:rPr>
          <w:noProof/>
          <w:sz w:val="20"/>
          <w:szCs w:val="20"/>
        </w:rPr>
        <w:t xml:space="preserve">Klessmann, Michael: </w:t>
      </w:r>
      <w:r w:rsidRPr="002E3E44">
        <w:rPr>
          <w:i/>
          <w:noProof/>
          <w:sz w:val="20"/>
          <w:szCs w:val="20"/>
        </w:rPr>
        <w:t>Seelsorge. Begleitung, Begegnung, Lebensdeutung im Horizont des christlichen Glaubens. Ein Lehrbuch</w:t>
      </w:r>
      <w:r w:rsidRPr="002E3E44">
        <w:rPr>
          <w:noProof/>
          <w:sz w:val="20"/>
          <w:szCs w:val="20"/>
        </w:rPr>
        <w:t xml:space="preserve">. Neukirchen-Vluyn 2. Aufl. 2009 </w:t>
      </w:r>
      <w:bookmarkEnd w:id="20"/>
    </w:p>
    <w:p w14:paraId="59E16CC0" w14:textId="77777777" w:rsidR="0096549F" w:rsidRPr="002E3E44" w:rsidRDefault="0096549F" w:rsidP="0096549F">
      <w:pPr>
        <w:spacing w:after="0" w:line="240" w:lineRule="auto"/>
        <w:ind w:left="720" w:hanging="720"/>
        <w:jc w:val="both"/>
        <w:rPr>
          <w:noProof/>
          <w:sz w:val="20"/>
          <w:szCs w:val="20"/>
        </w:rPr>
      </w:pPr>
      <w:bookmarkStart w:id="21" w:name="_ENREF_18"/>
      <w:r w:rsidRPr="002E3E44">
        <w:rPr>
          <w:noProof/>
          <w:sz w:val="20"/>
          <w:szCs w:val="20"/>
        </w:rPr>
        <w:t xml:space="preserve">Kurz, Wolfram:  </w:t>
      </w:r>
      <w:r w:rsidRPr="002E3E44">
        <w:rPr>
          <w:i/>
          <w:noProof/>
          <w:sz w:val="20"/>
          <w:szCs w:val="20"/>
        </w:rPr>
        <w:t>Der Bruch im seelsorglichen Gespräch</w:t>
      </w:r>
      <w:r w:rsidRPr="002E3E44">
        <w:rPr>
          <w:noProof/>
          <w:sz w:val="20"/>
          <w:szCs w:val="20"/>
        </w:rPr>
        <w:t>. PTh 74 (1985), 436-451</w:t>
      </w:r>
      <w:bookmarkEnd w:id="21"/>
    </w:p>
    <w:p w14:paraId="63E86E8C" w14:textId="77777777" w:rsidR="0096549F" w:rsidRPr="002E3E44" w:rsidRDefault="0096549F" w:rsidP="0096549F">
      <w:pPr>
        <w:spacing w:after="0" w:line="240" w:lineRule="auto"/>
        <w:ind w:left="720" w:hanging="720"/>
        <w:jc w:val="both"/>
        <w:rPr>
          <w:noProof/>
          <w:sz w:val="20"/>
          <w:szCs w:val="20"/>
        </w:rPr>
      </w:pPr>
      <w:bookmarkStart w:id="22" w:name="_ENREF_24"/>
      <w:r w:rsidRPr="002E3E44">
        <w:rPr>
          <w:noProof/>
          <w:sz w:val="20"/>
          <w:szCs w:val="20"/>
        </w:rPr>
        <w:t xml:space="preserve">Moltmann, Jürgen: </w:t>
      </w:r>
      <w:r w:rsidRPr="002E3E44">
        <w:rPr>
          <w:i/>
          <w:noProof/>
          <w:sz w:val="20"/>
          <w:szCs w:val="20"/>
        </w:rPr>
        <w:t>Anfänge der dialektischen Theologie</w:t>
      </w:r>
      <w:r w:rsidRPr="002E3E44">
        <w:rPr>
          <w:noProof/>
          <w:sz w:val="20"/>
          <w:szCs w:val="20"/>
        </w:rPr>
        <w:t xml:space="preserve">. München 1963 </w:t>
      </w:r>
      <w:bookmarkEnd w:id="22"/>
    </w:p>
    <w:p w14:paraId="66E5DD94" w14:textId="77777777" w:rsidR="0096549F" w:rsidRPr="002E3E44" w:rsidRDefault="0096549F" w:rsidP="0096549F">
      <w:pPr>
        <w:spacing w:after="0" w:line="240" w:lineRule="auto"/>
        <w:ind w:left="720" w:hanging="720"/>
        <w:jc w:val="both"/>
        <w:rPr>
          <w:noProof/>
          <w:sz w:val="20"/>
          <w:szCs w:val="20"/>
        </w:rPr>
      </w:pPr>
      <w:bookmarkStart w:id="23" w:name="_ENREF_25"/>
      <w:r w:rsidRPr="002E3E44">
        <w:rPr>
          <w:noProof/>
          <w:sz w:val="20"/>
          <w:szCs w:val="20"/>
        </w:rPr>
        <w:t xml:space="preserve">Morgenthaler, Christoph: </w:t>
      </w:r>
      <w:r w:rsidRPr="002E3E44">
        <w:rPr>
          <w:i/>
          <w:noProof/>
          <w:sz w:val="20"/>
          <w:szCs w:val="20"/>
        </w:rPr>
        <w:t>Seelsorge</w:t>
      </w:r>
      <w:r w:rsidRPr="002E3E44">
        <w:rPr>
          <w:noProof/>
          <w:sz w:val="20"/>
          <w:szCs w:val="20"/>
        </w:rPr>
        <w:t>. Gütersloh 2009 (Lehrbuch Praktische Theologie Bd. 3)</w:t>
      </w:r>
      <w:bookmarkEnd w:id="23"/>
    </w:p>
    <w:p w14:paraId="1B72661D" w14:textId="77777777" w:rsidR="0096549F" w:rsidRPr="002E3E44" w:rsidRDefault="0096549F" w:rsidP="0096549F">
      <w:pPr>
        <w:spacing w:after="0" w:line="240" w:lineRule="auto"/>
        <w:ind w:left="720" w:hanging="720"/>
        <w:jc w:val="both"/>
        <w:rPr>
          <w:noProof/>
          <w:sz w:val="20"/>
          <w:szCs w:val="20"/>
        </w:rPr>
      </w:pPr>
      <w:bookmarkStart w:id="24" w:name="_ENREF_26"/>
      <w:r w:rsidRPr="002E3E44">
        <w:rPr>
          <w:noProof/>
          <w:sz w:val="20"/>
          <w:szCs w:val="20"/>
        </w:rPr>
        <w:t xml:space="preserve">Nauer, Doris: </w:t>
      </w:r>
      <w:r w:rsidRPr="002E3E44">
        <w:rPr>
          <w:i/>
          <w:noProof/>
          <w:sz w:val="20"/>
          <w:szCs w:val="20"/>
        </w:rPr>
        <w:t>Seelsorgekonzepte im Widerstreit</w:t>
      </w:r>
      <w:r w:rsidRPr="002E3E44">
        <w:rPr>
          <w:noProof/>
          <w:sz w:val="20"/>
          <w:szCs w:val="20"/>
        </w:rPr>
        <w:t xml:space="preserve">. Stuttgart 2001 </w:t>
      </w:r>
      <w:bookmarkEnd w:id="24"/>
    </w:p>
    <w:p w14:paraId="0EC416DE" w14:textId="77777777" w:rsidR="0096549F" w:rsidRPr="002E3E44" w:rsidRDefault="0096549F" w:rsidP="0096549F">
      <w:pPr>
        <w:spacing w:after="0" w:line="240" w:lineRule="auto"/>
        <w:ind w:left="720" w:hanging="720"/>
        <w:jc w:val="both"/>
        <w:rPr>
          <w:noProof/>
          <w:sz w:val="20"/>
          <w:szCs w:val="20"/>
        </w:rPr>
      </w:pPr>
      <w:bookmarkStart w:id="25" w:name="_ENREF_27"/>
      <w:r w:rsidRPr="002E3E44">
        <w:rPr>
          <w:noProof/>
          <w:sz w:val="20"/>
          <w:szCs w:val="20"/>
        </w:rPr>
        <w:t xml:space="preserve">Nicol, Martin:  </w:t>
      </w:r>
      <w:r w:rsidRPr="002E3E44">
        <w:rPr>
          <w:i/>
          <w:noProof/>
          <w:sz w:val="20"/>
          <w:szCs w:val="20"/>
        </w:rPr>
        <w:t>Leben deuten mit der Bibel. Zum Schriftgebrauch in der nordamerikanischen Seelsorge</w:t>
      </w:r>
      <w:r w:rsidRPr="002E3E44">
        <w:rPr>
          <w:noProof/>
          <w:sz w:val="20"/>
          <w:szCs w:val="20"/>
        </w:rPr>
        <w:t>. WzM 50 (1998), 2-17</w:t>
      </w:r>
      <w:bookmarkEnd w:id="25"/>
    </w:p>
    <w:p w14:paraId="28437C0E" w14:textId="32E245FC" w:rsidR="0096549F" w:rsidRPr="002E3E44" w:rsidRDefault="0096549F" w:rsidP="007F3CDA">
      <w:pPr>
        <w:spacing w:after="0" w:line="240" w:lineRule="auto"/>
        <w:ind w:left="720" w:hanging="720"/>
        <w:jc w:val="both"/>
        <w:rPr>
          <w:noProof/>
          <w:sz w:val="20"/>
          <w:szCs w:val="20"/>
        </w:rPr>
      </w:pPr>
      <w:bookmarkStart w:id="26" w:name="_ENREF_30"/>
      <w:r w:rsidRPr="002E3E44">
        <w:rPr>
          <w:noProof/>
          <w:sz w:val="20"/>
          <w:szCs w:val="20"/>
        </w:rPr>
        <w:t xml:space="preserve">Raschzok, Klaus:  </w:t>
      </w:r>
      <w:r w:rsidRPr="002E3E44">
        <w:rPr>
          <w:i/>
          <w:noProof/>
          <w:sz w:val="20"/>
          <w:szCs w:val="20"/>
        </w:rPr>
        <w:t>Ein theologisches Programm für die Praxis der Kirche. Die Bedeutung des Werkes Eduard Thurneysens für eine gegenwärtig zu verantwortende Praktische Theologie</w:t>
      </w:r>
      <w:r w:rsidRPr="002E3E44">
        <w:rPr>
          <w:noProof/>
          <w:sz w:val="20"/>
          <w:szCs w:val="20"/>
        </w:rPr>
        <w:t>. ThLZ 120 (1995), 299-312</w:t>
      </w:r>
      <w:bookmarkStart w:id="27" w:name="_ENREF_33"/>
      <w:bookmarkEnd w:id="26"/>
      <w:r w:rsidRPr="002E3E44">
        <w:rPr>
          <w:noProof/>
          <w:sz w:val="20"/>
          <w:szCs w:val="20"/>
        </w:rPr>
        <w:t xml:space="preserve"> </w:t>
      </w:r>
      <w:bookmarkEnd w:id="27"/>
    </w:p>
    <w:p w14:paraId="3FFADDE2" w14:textId="77777777" w:rsidR="0096549F" w:rsidRPr="002E3E44" w:rsidRDefault="0096549F" w:rsidP="0096549F">
      <w:pPr>
        <w:spacing w:after="0" w:line="240" w:lineRule="auto"/>
        <w:ind w:left="720" w:hanging="720"/>
        <w:jc w:val="both"/>
        <w:rPr>
          <w:noProof/>
          <w:sz w:val="20"/>
          <w:szCs w:val="20"/>
        </w:rPr>
      </w:pPr>
      <w:bookmarkStart w:id="28" w:name="_ENREF_34"/>
      <w:r w:rsidRPr="002E3E44">
        <w:rPr>
          <w:noProof/>
          <w:sz w:val="20"/>
          <w:szCs w:val="20"/>
        </w:rPr>
        <w:t xml:space="preserve">Scharfenberg, Joachim: </w:t>
      </w:r>
      <w:r w:rsidRPr="002E3E44">
        <w:rPr>
          <w:i/>
          <w:noProof/>
          <w:sz w:val="20"/>
          <w:szCs w:val="20"/>
        </w:rPr>
        <w:t>Seelsorge als Gespräch</w:t>
      </w:r>
      <w:r w:rsidRPr="002E3E44">
        <w:rPr>
          <w:noProof/>
          <w:sz w:val="20"/>
          <w:szCs w:val="20"/>
        </w:rPr>
        <w:t xml:space="preserve">. Göttingen 5. Aufl. 1991 </w:t>
      </w:r>
      <w:bookmarkEnd w:id="28"/>
    </w:p>
    <w:p w14:paraId="217554B5" w14:textId="77777777" w:rsidR="0096549F" w:rsidRPr="002E3E44" w:rsidRDefault="0096549F" w:rsidP="0096549F">
      <w:pPr>
        <w:spacing w:after="0" w:line="240" w:lineRule="auto"/>
        <w:ind w:left="720" w:hanging="720"/>
        <w:jc w:val="both"/>
        <w:rPr>
          <w:noProof/>
          <w:sz w:val="20"/>
          <w:szCs w:val="20"/>
        </w:rPr>
      </w:pPr>
      <w:bookmarkStart w:id="29" w:name="_ENREF_44"/>
      <w:r w:rsidRPr="002E3E44">
        <w:rPr>
          <w:noProof/>
          <w:sz w:val="20"/>
          <w:szCs w:val="20"/>
        </w:rPr>
        <w:t xml:space="preserve">Tacke, Helmut: </w:t>
      </w:r>
      <w:r w:rsidRPr="002E3E44">
        <w:rPr>
          <w:i/>
          <w:noProof/>
          <w:sz w:val="20"/>
          <w:szCs w:val="20"/>
        </w:rPr>
        <w:t>Glaubenshilfe als Lebenshilfe</w:t>
      </w:r>
      <w:r w:rsidRPr="002E3E44">
        <w:rPr>
          <w:noProof/>
          <w:sz w:val="20"/>
          <w:szCs w:val="20"/>
        </w:rPr>
        <w:t xml:space="preserve">. Neukirchen-Vluyn 2. Aufl. 1979 </w:t>
      </w:r>
      <w:bookmarkEnd w:id="29"/>
    </w:p>
    <w:p w14:paraId="2D3F6099" w14:textId="77777777" w:rsidR="0096549F" w:rsidRPr="002E3E44" w:rsidRDefault="0096549F" w:rsidP="0096549F">
      <w:pPr>
        <w:spacing w:after="0" w:line="240" w:lineRule="auto"/>
        <w:ind w:left="720" w:hanging="720"/>
        <w:jc w:val="both"/>
        <w:rPr>
          <w:noProof/>
          <w:sz w:val="20"/>
          <w:szCs w:val="20"/>
        </w:rPr>
      </w:pPr>
      <w:bookmarkStart w:id="30" w:name="_ENREF_45"/>
      <w:r w:rsidRPr="002E3E44">
        <w:rPr>
          <w:noProof/>
          <w:sz w:val="20"/>
          <w:szCs w:val="20"/>
        </w:rPr>
        <w:t xml:space="preserve">---: </w:t>
      </w:r>
      <w:r w:rsidRPr="002E3E44">
        <w:rPr>
          <w:i/>
          <w:noProof/>
          <w:sz w:val="20"/>
          <w:szCs w:val="20"/>
        </w:rPr>
        <w:t>Mit dem Müden zur rechten Zeit zu reden</w:t>
      </w:r>
      <w:r w:rsidRPr="002E3E44">
        <w:rPr>
          <w:noProof/>
          <w:sz w:val="20"/>
          <w:szCs w:val="20"/>
        </w:rPr>
        <w:t xml:space="preserve">. Neukirchen-Vluyn 1989 </w:t>
      </w:r>
      <w:bookmarkEnd w:id="30"/>
    </w:p>
    <w:p w14:paraId="345D4D88" w14:textId="77777777" w:rsidR="0096549F" w:rsidRPr="002E3E44" w:rsidRDefault="0096549F" w:rsidP="0096549F">
      <w:pPr>
        <w:spacing w:after="0" w:line="240" w:lineRule="auto"/>
        <w:ind w:left="720" w:hanging="720"/>
        <w:jc w:val="both"/>
        <w:rPr>
          <w:noProof/>
          <w:sz w:val="20"/>
          <w:szCs w:val="20"/>
        </w:rPr>
      </w:pPr>
      <w:bookmarkStart w:id="31" w:name="_ENREF_47"/>
      <w:bookmarkStart w:id="32" w:name="_GoBack"/>
      <w:r w:rsidRPr="007E33E4">
        <w:rPr>
          <w:b/>
          <w:noProof/>
          <w:sz w:val="20"/>
          <w:szCs w:val="20"/>
        </w:rPr>
        <w:t xml:space="preserve">Thurneysen, Eduard: </w:t>
      </w:r>
      <w:bookmarkEnd w:id="32"/>
      <w:r w:rsidRPr="002E3E44">
        <w:rPr>
          <w:noProof/>
          <w:sz w:val="20"/>
          <w:szCs w:val="20"/>
        </w:rPr>
        <w:t xml:space="preserve"> </w:t>
      </w:r>
      <w:r w:rsidRPr="002E3E44">
        <w:rPr>
          <w:i/>
          <w:noProof/>
          <w:sz w:val="20"/>
          <w:szCs w:val="20"/>
        </w:rPr>
        <w:t>Rechtfertigung und Seelsorge</w:t>
      </w:r>
      <w:r w:rsidRPr="002E3E44">
        <w:rPr>
          <w:noProof/>
          <w:sz w:val="20"/>
          <w:szCs w:val="20"/>
        </w:rPr>
        <w:t>. Zwischen den Zeiten 6 (1928), 208-218</w:t>
      </w:r>
      <w:bookmarkEnd w:id="31"/>
    </w:p>
    <w:p w14:paraId="7A74313F" w14:textId="77777777" w:rsidR="0096549F" w:rsidRPr="007E33E4" w:rsidRDefault="0096549F" w:rsidP="0096549F">
      <w:pPr>
        <w:spacing w:after="0" w:line="240" w:lineRule="auto"/>
        <w:ind w:left="720" w:hanging="720"/>
        <w:jc w:val="both"/>
        <w:rPr>
          <w:b/>
          <w:noProof/>
          <w:sz w:val="20"/>
          <w:szCs w:val="20"/>
        </w:rPr>
      </w:pPr>
      <w:bookmarkStart w:id="33" w:name="_ENREF_48"/>
      <w:r w:rsidRPr="007E33E4">
        <w:rPr>
          <w:b/>
          <w:noProof/>
          <w:sz w:val="20"/>
          <w:szCs w:val="20"/>
        </w:rPr>
        <w:t xml:space="preserve">---: </w:t>
      </w:r>
      <w:r w:rsidRPr="007E33E4">
        <w:rPr>
          <w:b/>
          <w:i/>
          <w:noProof/>
          <w:sz w:val="20"/>
          <w:szCs w:val="20"/>
        </w:rPr>
        <w:t>Die Lehre von der Seelsorge</w:t>
      </w:r>
      <w:r w:rsidRPr="007E33E4">
        <w:rPr>
          <w:b/>
          <w:noProof/>
          <w:sz w:val="20"/>
          <w:szCs w:val="20"/>
        </w:rPr>
        <w:t xml:space="preserve">. München 1948 </w:t>
      </w:r>
      <w:bookmarkEnd w:id="33"/>
    </w:p>
    <w:p w14:paraId="56922BBB" w14:textId="77777777" w:rsidR="0096549F" w:rsidRPr="002E3E44" w:rsidRDefault="0096549F" w:rsidP="0096549F">
      <w:pPr>
        <w:spacing w:after="0" w:line="240" w:lineRule="auto"/>
        <w:ind w:left="720" w:hanging="720"/>
        <w:jc w:val="both"/>
        <w:rPr>
          <w:noProof/>
          <w:sz w:val="20"/>
          <w:szCs w:val="20"/>
        </w:rPr>
      </w:pPr>
      <w:bookmarkStart w:id="34" w:name="_ENREF_49"/>
      <w:r w:rsidRPr="002E3E44">
        <w:rPr>
          <w:noProof/>
          <w:sz w:val="20"/>
          <w:szCs w:val="20"/>
        </w:rPr>
        <w:t xml:space="preserve">---: </w:t>
      </w:r>
      <w:r w:rsidRPr="002E3E44">
        <w:rPr>
          <w:i/>
          <w:noProof/>
          <w:sz w:val="20"/>
          <w:szCs w:val="20"/>
        </w:rPr>
        <w:t>Seelsorge im Vollzug</w:t>
      </w:r>
      <w:r w:rsidRPr="002E3E44">
        <w:rPr>
          <w:noProof/>
          <w:sz w:val="20"/>
          <w:szCs w:val="20"/>
        </w:rPr>
        <w:t xml:space="preserve">. Zürich 1968 </w:t>
      </w:r>
      <w:bookmarkEnd w:id="34"/>
    </w:p>
    <w:p w14:paraId="3D037C27" w14:textId="77777777" w:rsidR="0096549F" w:rsidRDefault="0096549F" w:rsidP="0096549F">
      <w:pPr>
        <w:spacing w:after="0" w:line="240" w:lineRule="auto"/>
        <w:ind w:left="720" w:hanging="720"/>
        <w:jc w:val="both"/>
        <w:rPr>
          <w:noProof/>
          <w:sz w:val="20"/>
          <w:szCs w:val="20"/>
        </w:rPr>
      </w:pPr>
      <w:bookmarkStart w:id="35" w:name="_ENREF_52"/>
      <w:r w:rsidRPr="002E3E44">
        <w:rPr>
          <w:noProof/>
          <w:sz w:val="20"/>
          <w:szCs w:val="20"/>
        </w:rPr>
        <w:t xml:space="preserve">Ziemer, Jürgen: </w:t>
      </w:r>
      <w:r w:rsidRPr="002E3E44">
        <w:rPr>
          <w:i/>
          <w:noProof/>
          <w:sz w:val="20"/>
          <w:szCs w:val="20"/>
        </w:rPr>
        <w:t>Seelsorgelehre. Eine Einführung für Studium und Praxis</w:t>
      </w:r>
      <w:r w:rsidRPr="002E3E44">
        <w:rPr>
          <w:noProof/>
          <w:sz w:val="20"/>
          <w:szCs w:val="20"/>
        </w:rPr>
        <w:t xml:space="preserve">. Stuttgart 2000 </w:t>
      </w:r>
    </w:p>
    <w:p w14:paraId="3F87C8E9" w14:textId="77777777" w:rsidR="0096549F" w:rsidRDefault="0096549F" w:rsidP="0096549F">
      <w:pPr>
        <w:spacing w:after="0" w:line="240" w:lineRule="auto"/>
        <w:ind w:left="720" w:hanging="720"/>
        <w:jc w:val="both"/>
        <w:rPr>
          <w:noProof/>
          <w:sz w:val="20"/>
          <w:szCs w:val="20"/>
        </w:rPr>
      </w:pPr>
    </w:p>
    <w:p w14:paraId="1BD813FF" w14:textId="77777777" w:rsidR="0096549F" w:rsidRPr="002E3E44" w:rsidRDefault="0096549F" w:rsidP="0096549F">
      <w:pPr>
        <w:spacing w:after="0" w:line="240" w:lineRule="auto"/>
        <w:ind w:left="720" w:hanging="720"/>
        <w:jc w:val="both"/>
        <w:rPr>
          <w:noProof/>
          <w:sz w:val="20"/>
          <w:szCs w:val="20"/>
        </w:rPr>
      </w:pPr>
    </w:p>
    <w:bookmarkEnd w:id="35"/>
    <w:p w14:paraId="49BEC37B" w14:textId="77777777" w:rsidR="0096549F" w:rsidRPr="0036116B" w:rsidRDefault="0096549F" w:rsidP="0096549F">
      <w:pPr>
        <w:spacing w:after="0" w:line="240" w:lineRule="auto"/>
        <w:jc w:val="both"/>
        <w:rPr>
          <w:noProof/>
        </w:rPr>
      </w:pPr>
    </w:p>
    <w:p w14:paraId="365E11F6" w14:textId="77777777" w:rsidR="0096549F" w:rsidRPr="00217A72" w:rsidRDefault="0096549F" w:rsidP="0096549F">
      <w:pPr>
        <w:jc w:val="both"/>
      </w:pPr>
      <w:r>
        <w:fldChar w:fldCharType="end"/>
      </w:r>
    </w:p>
    <w:p w14:paraId="5EFE8D91" w14:textId="77777777" w:rsidR="0096549F" w:rsidRPr="006F111A" w:rsidRDefault="0096549F" w:rsidP="0096549F">
      <w:pPr>
        <w:spacing w:after="0" w:line="240" w:lineRule="auto"/>
        <w:ind w:left="720" w:hanging="720"/>
        <w:jc w:val="both"/>
        <w:rPr>
          <w:noProof/>
        </w:rPr>
      </w:pPr>
    </w:p>
    <w:bookmarkEnd w:id="0"/>
    <w:p w14:paraId="1D2C8070" w14:textId="77777777" w:rsidR="0096549F" w:rsidRPr="006F111A" w:rsidRDefault="0096549F" w:rsidP="0096549F">
      <w:pPr>
        <w:spacing w:after="0" w:line="240" w:lineRule="auto"/>
        <w:jc w:val="both"/>
        <w:rPr>
          <w:noProof/>
        </w:rPr>
      </w:pPr>
    </w:p>
    <w:p w14:paraId="4F481291" w14:textId="77777777" w:rsidR="0096549F" w:rsidRDefault="0096549F" w:rsidP="0096549F">
      <w:pPr>
        <w:spacing w:after="0" w:line="240" w:lineRule="auto"/>
        <w:jc w:val="both"/>
        <w:rPr>
          <w:b/>
          <w:noProof/>
        </w:rPr>
      </w:pPr>
    </w:p>
    <w:p w14:paraId="1AFD2244" w14:textId="77777777" w:rsidR="0096549F" w:rsidRPr="00217A72" w:rsidRDefault="0096549F" w:rsidP="0096549F">
      <w:pPr>
        <w:jc w:val="both"/>
      </w:pPr>
      <w:r>
        <w:fldChar w:fldCharType="end"/>
      </w:r>
    </w:p>
    <w:p w14:paraId="48515800" w14:textId="39975BB0" w:rsidR="00454375" w:rsidRDefault="00454375" w:rsidP="0091430E">
      <w:pPr>
        <w:rPr>
          <w:rFonts w:asciiTheme="minorHAnsi" w:hAnsiTheme="minorHAnsi"/>
          <w:sz w:val="22"/>
        </w:rPr>
      </w:pPr>
    </w:p>
    <w:sectPr w:rsidR="00454375" w:rsidSect="000D11E1">
      <w:headerReference w:type="default" r:id="rId21"/>
      <w:footerReference w:type="default" r:id="rId22"/>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FA025B" w:rsidRDefault="00FA025B" w:rsidP="000D11E1">
      <w:pPr>
        <w:spacing w:after="0" w:line="240" w:lineRule="auto"/>
      </w:pPr>
      <w:r>
        <w:separator/>
      </w:r>
    </w:p>
  </w:endnote>
  <w:endnote w:type="continuationSeparator" w:id="0">
    <w:p w14:paraId="3E2D083C" w14:textId="77777777" w:rsidR="00FA025B" w:rsidRDefault="00FA025B"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E61A" w14:textId="74D54BD3" w:rsidR="00FA025B" w:rsidRPr="00496B32" w:rsidRDefault="00FA025B">
    <w:pPr>
      <w:pStyle w:val="Fuzeile"/>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r>
      <w:rPr>
        <w:noProof/>
        <w:sz w:val="20"/>
        <w:szCs w:val="20"/>
        <w:lang w:eastAsia="de-DE"/>
      </w:rPr>
      <w:t>25</w:t>
    </w:r>
  </w:p>
  <w:p w14:paraId="2ACF644A" w14:textId="3FCE0D6A" w:rsidR="00FA025B" w:rsidRPr="00496B32" w:rsidRDefault="00FA025B" w:rsidP="000D11E1">
    <w:pPr>
      <w:pStyle w:val="Fuzeile"/>
      <w:rPr>
        <w:sz w:val="16"/>
        <w:szCs w:val="16"/>
      </w:rPr>
    </w:pPr>
    <w:r>
      <w:rPr>
        <w:sz w:val="16"/>
        <w:szCs w:val="16"/>
      </w:rPr>
      <w:t>25. Oktober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FA025B" w:rsidRDefault="00FA025B" w:rsidP="000D11E1">
      <w:pPr>
        <w:spacing w:after="0" w:line="240" w:lineRule="auto"/>
      </w:pPr>
      <w:r>
        <w:separator/>
      </w:r>
    </w:p>
  </w:footnote>
  <w:footnote w:type="continuationSeparator" w:id="0">
    <w:p w14:paraId="54522CB8" w14:textId="77777777" w:rsidR="00FA025B" w:rsidRDefault="00FA025B" w:rsidP="000D11E1">
      <w:pPr>
        <w:spacing w:after="0" w:line="240" w:lineRule="auto"/>
      </w:pPr>
      <w:r>
        <w:continuationSeparator/>
      </w:r>
    </w:p>
  </w:footnote>
  <w:footnote w:id="1">
    <w:p w14:paraId="5E585AAC" w14:textId="23F0D9B0" w:rsidR="00FA025B" w:rsidRDefault="00FA025B" w:rsidP="009D69EC">
      <w:pPr>
        <w:pStyle w:val="Funotentext"/>
      </w:pPr>
      <w:r>
        <w:rPr>
          <w:rStyle w:val="Funotenzeichen"/>
        </w:rPr>
        <w:footnoteRef/>
      </w:r>
      <w:r>
        <w:t xml:space="preserve"> </w:t>
      </w:r>
      <w:r>
        <w:fldChar w:fldCharType="begin"/>
      </w:r>
      <w:r>
        <w:instrText xml:space="preserve"> ADDIN EN.CITE &lt;EndNote&gt;&lt;Cite&gt;&lt;Author&gt;Drews&lt;/Author&gt;&lt;Year&gt;1901&lt;/Year&gt;&lt;RecNum&gt;1886&lt;/RecNum&gt;&lt;DisplayText&gt;Paul Drews 1901, &lt;/DisplayText&gt;&lt;record&gt;&lt;rec-number&gt;1886&lt;/rec-number&gt;&lt;foreign-keys&gt;&lt;key app="EN" db-id="0t0dxv9vetdatmef0a959d9wdwf995aa9dxw"&gt;1886&lt;/key&gt;&lt;/foreign-keys&gt;&lt;ref-type name="Book Section"&gt;5&lt;/ref-type&gt;&lt;contributors&gt;&lt;authors&gt;&lt;author&gt;Paul Drews&lt;/author&gt;&lt;/authors&gt;&lt;/contributors&gt;&lt;titles&gt;&lt;title&gt;&amp;quot;Religiöse Volkskunde&amp;quot;, eine Aufgabe der praktischen Theologie&lt;/title&gt;&lt;secondary-title&gt;Monatsschrift für die kirchliche Praxis&lt;/secondary-title&gt;&lt;/titles&gt;&lt;pages&gt;1-8&lt;/pages&gt;&lt;number&gt;Bd. 1&lt;/number&gt;&lt;dates&gt;&lt;year&gt;1901&lt;/year&gt;&lt;/dates&gt;&lt;pub-location&gt;Tübingen und Leipzig&lt;/pub-location&gt;&lt;urls&gt;&lt;/urls&gt;&lt;/record&gt;&lt;/Cite&gt;&lt;/EndNote&gt;</w:instrText>
      </w:r>
      <w:r>
        <w:fldChar w:fldCharType="separate"/>
      </w:r>
      <w:r>
        <w:rPr>
          <w:noProof/>
        </w:rPr>
        <w:t xml:space="preserve">Paul Drews 1901, </w:t>
      </w:r>
      <w:r>
        <w:fldChar w:fldCharType="end"/>
      </w:r>
      <w:r>
        <w:t xml:space="preserve">2f.6.2; </w:t>
      </w:r>
      <w:r w:rsidRPr="00900D72">
        <w:fldChar w:fldCharType="begin"/>
      </w:r>
      <w:r>
        <w:instrText xml:space="preserve"> ADDIN EN.CITE &lt;EndNote&gt;&lt;Cite&gt;&lt;Author&gt;Baumgarten&lt;/Author&gt;&lt;Year&gt;1891&lt;/Year&gt;&lt;RecNum&gt;1885&lt;/RecNum&gt;&lt;DisplayText&gt;Otto Baumgarten 1891, &lt;/DisplayText&gt;&lt;record&gt;&lt;rec-number&gt;1885&lt;/rec-number&gt;&lt;foreign-keys&gt;&lt;key app="EN" db-id="0t0dxv9vetdatmef0a959d9wdwf995aa9dxw"&gt;1885&lt;/key&gt;&lt;/foreign-keys&gt;&lt;ref-type name="Book Section"&gt;5&lt;/ref-type&gt;&lt;contributors&gt;&lt;authors&gt;&lt;author&gt;Otto Baumgarten&lt;/author&gt;&lt;/authors&gt;&lt;/contributors&gt;&lt;titles&gt;&lt;title&gt;Der Seelsorger unserer Tage&lt;/title&gt;&lt;tertiary-title&gt;Evangelisch-soziale Zeitfragen&lt;/tertiary-title&gt;&lt;/titles&gt;&lt;pages&gt;18-29&lt;/pages&gt;&lt;volume&gt;Reihe 1, Heft 3&lt;/volume&gt;&lt;dates&gt;&lt;year&gt;1891&lt;/year&gt;&lt;/dates&gt;&lt;pub-location&gt;Leipzig&lt;/pub-location&gt;&lt;urls&gt;&lt;/urls&gt;&lt;/record&gt;&lt;/Cite&gt;&lt;/EndNote&gt;</w:instrText>
      </w:r>
      <w:r w:rsidRPr="00900D72">
        <w:fldChar w:fldCharType="separate"/>
      </w:r>
      <w:r>
        <w:rPr>
          <w:noProof/>
        </w:rPr>
        <w:t xml:space="preserve">Otto Baumgarten 1891, </w:t>
      </w:r>
      <w:r w:rsidRPr="00900D72">
        <w:fldChar w:fldCharType="end"/>
      </w:r>
      <w:r w:rsidRPr="00900D72">
        <w:t xml:space="preserve">18. Zu Baumgarten: Vgl. </w:t>
      </w:r>
      <w:r w:rsidRPr="00900D72">
        <w:fldChar w:fldCharType="begin"/>
      </w:r>
      <w:r>
        <w:instrText xml:space="preserve"> ADDIN EN.CITE &lt;EndNote&gt;&lt;Cite&gt;&lt;Author&gt;Stahlberg&lt;/Author&gt;&lt;Year&gt;1998&lt;/Year&gt;&lt;RecNum&gt;1196&lt;/RecNum&gt;&lt;DisplayText&gt;Thomas Stahlberg 1998&lt;/DisplayText&gt;&lt;record&gt;&lt;rec-number&gt;1196&lt;/rec-number&gt;&lt;foreign-keys&gt;&lt;key app="EN" db-id="0t0dxv9vetdatmef0a959d9wdwf995aa9dxw"&gt;1196&lt;/key&gt;&lt;/foreign-keys&gt;&lt;ref-type name="Book"&gt;6&lt;/ref-type&gt;&lt;contributors&gt;&lt;authors&gt;&lt;author&gt;Thomas Stahlberg&lt;/author&gt;&lt;/authors&gt;&lt;/contributors&gt;&lt;titles&gt;&lt;title&gt;Seelsorge im Übergang zur &amp;quot;modernen Welt&amp;quot;&lt;/title&gt;&lt;/titles&gt;&lt;dates&gt;&lt;year&gt;1998&lt;/year&gt;&lt;/dates&gt;&lt;pub-location&gt;Göttingen&lt;/pub-location&gt;&lt;urls&gt;&lt;/urls&gt;&lt;/record&gt;&lt;/Cite&gt;&lt;/EndNote&gt;</w:instrText>
      </w:r>
      <w:r w:rsidRPr="00900D72">
        <w:fldChar w:fldCharType="separate"/>
      </w:r>
      <w:r>
        <w:rPr>
          <w:noProof/>
        </w:rPr>
        <w:t>Thomas Stahlberg 1998</w:t>
      </w:r>
      <w:r w:rsidRPr="00900D72">
        <w:fldChar w:fldCharType="end"/>
      </w:r>
      <w:r w:rsidRPr="00900D72">
        <w:t xml:space="preserve">. Einen Ausschnitt aus seinen Texten bieten u.a. </w:t>
      </w:r>
      <w:r w:rsidRPr="00900D72">
        <w:fldChar w:fldCharType="begin"/>
      </w:r>
      <w:r>
        <w:instrText xml:space="preserve"> ADDIN EN.CITE &lt;EndNote&gt;&lt;Cite&gt;&lt;Author&gt;Merle&lt;/Author&gt;&lt;Year&gt;2009&lt;/Year&gt;&lt;RecNum&gt;930&lt;/RecNum&gt;&lt;DisplayText&gt;Kristin Merle und Birgit Weyel, 2009&lt;/DisplayText&gt;&lt;record&gt;&lt;rec-number&gt;930&lt;/rec-number&gt;&lt;foreign-keys&gt;&lt;key app="EN" db-id="0t0dxv9vetdatmef0a959d9wdwf995aa9dxw"&gt;930&lt;/key&gt;&lt;/foreign-keys&gt;&lt;ref-type name="Edited Book"&gt;28&lt;/ref-type&gt;&lt;contributors&gt;&lt;authors&gt;&lt;author&gt;Kristin Merle&lt;/author&gt;&lt;author&gt;Birgit Weyel&lt;/author&gt;&lt;/authors&gt;&lt;/contributors&gt;&lt;titles&gt;&lt;title&gt;Seelsorge. Quellen von Schleiermacher bis zur Gegenwart&lt;/title&gt;&lt;/titles&gt;&lt;dates&gt;&lt;year&gt;2009&lt;/year&gt;&lt;/dates&gt;&lt;pub-location&gt;Tübingen&lt;/pub-location&gt;&lt;urls&gt;&lt;/urls&gt;&lt;/record&gt;&lt;/Cite&gt;&lt;/EndNote&gt;</w:instrText>
      </w:r>
      <w:r w:rsidRPr="00900D72">
        <w:fldChar w:fldCharType="separate"/>
      </w:r>
      <w:r>
        <w:rPr>
          <w:noProof/>
        </w:rPr>
        <w:t>Kristin Merle und Birgit Weyel, 2009</w:t>
      </w:r>
      <w:r w:rsidRPr="00900D72">
        <w:fldChar w:fldCharType="end"/>
      </w:r>
      <w:r w:rsidRPr="00900D72">
        <w:t>, 65-75.</w:t>
      </w:r>
    </w:p>
  </w:footnote>
  <w:footnote w:id="2">
    <w:p w14:paraId="51E3E0C2" w14:textId="2A657D29" w:rsidR="00FA025B" w:rsidRDefault="00FA025B" w:rsidP="0096549F">
      <w:pPr>
        <w:pStyle w:val="Funotentext"/>
      </w:pPr>
      <w:r>
        <w:rPr>
          <w:rStyle w:val="Funotenzeichen"/>
        </w:rPr>
        <w:footnoteRef/>
      </w:r>
      <w:r>
        <w:t xml:space="preserve"> Zitiert nach </w:t>
      </w:r>
      <w:r>
        <w:fldChar w:fldCharType="begin"/>
      </w:r>
      <w:r>
        <w:instrText xml:space="preserve"> ADDIN EN.CITE &lt;EndNote&gt;&lt;Cite&gt;&lt;Author&gt;Moltmann&lt;/Author&gt;&lt;Year&gt;1963&lt;/Year&gt;&lt;RecNum&gt;1216&lt;/RecNum&gt;&lt;DisplayText&gt;Jürgen Moltmann, 1963&lt;/DisplayText&gt;&lt;record&gt;&lt;rec-number&gt;1216&lt;/rec-number&gt;&lt;foreign-keys&gt;&lt;key app="EN" db-id="0t0dxv9vetdatmef0a959d9wdwf995aa9dxw"&gt;1216&lt;/key&gt;&lt;/foreign-keys&gt;&lt;ref-type name="Edited Book"&gt;28&lt;/ref-type&gt;&lt;contributors&gt;&lt;authors&gt;&lt;author&gt;Jürgen Moltmann&lt;/author&gt;&lt;/authors&gt;&lt;/contributors&gt;&lt;titles&gt;&lt;title&gt;Anfänge der dialektischen Theologie&lt;/title&gt;&lt;/titles&gt;&lt;volume&gt;Bd. 2&lt;/volume&gt;&lt;dates&gt;&lt;year&gt;1963&lt;/year&gt;&lt;/dates&gt;&lt;pub-location&gt;München&lt;/pub-location&gt;&lt;urls&gt;&lt;/urls&gt;&lt;/record&gt;&lt;/Cite&gt;&lt;/EndNote&gt;</w:instrText>
      </w:r>
      <w:r>
        <w:fldChar w:fldCharType="separate"/>
      </w:r>
      <w:r>
        <w:rPr>
          <w:noProof/>
        </w:rPr>
        <w:t>Jürgen Moltmann 1963</w:t>
      </w:r>
      <w:r>
        <w:fldChar w:fldCharType="end"/>
      </w:r>
      <w:r>
        <w:t>, 245.</w:t>
      </w:r>
    </w:p>
  </w:footnote>
  <w:footnote w:id="3">
    <w:p w14:paraId="5D21D484" w14:textId="61C5AD4E" w:rsidR="00FA025B" w:rsidRPr="00900D72" w:rsidRDefault="00FA025B" w:rsidP="0096549F">
      <w:pPr>
        <w:pStyle w:val="Funotentext"/>
      </w:pPr>
      <w:r w:rsidRPr="00491C40">
        <w:rPr>
          <w:rStyle w:val="Funotenzeichen"/>
        </w:rPr>
        <w:footnoteRef/>
      </w:r>
      <w:r w:rsidRPr="00900D72">
        <w:t xml:space="preserve"> </w:t>
      </w:r>
      <w:r w:rsidRPr="00900D72">
        <w:fldChar w:fldCharType="begin"/>
      </w:r>
      <w:r w:rsidRPr="00900D72">
        <w:instrText xml:space="preserve"> </w:instrText>
      </w:r>
      <w:r>
        <w:instrText>ADDIN</w:instrText>
      </w:r>
      <w:r w:rsidRPr="00900D72">
        <w:instrText xml:space="preserve"> EN.CITE &lt;EndNote&gt;&lt;Cite&gt;&lt;Author&gt;Thurneysen&lt;/Author&gt;&lt;Year&gt;1948&lt;/Year&gt;&lt;RecNum&gt;778&lt;/RecNum&gt;&lt;DisplayText&gt;Eduard Thurneysen 1948&lt;/DisplayText&gt;&lt;record&gt;&lt;rec-number&gt;778&lt;/rec-number&gt;&lt;foreign-keys&gt;&lt;key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sidRPr="00900D72">
        <w:rPr>
          <w:noProof/>
        </w:rPr>
        <w:t>Eduard Thurneysen 1948</w:t>
      </w:r>
      <w:r w:rsidRPr="00900D72">
        <w:fldChar w:fldCharType="end"/>
      </w:r>
      <w:r w:rsidRPr="00900D72">
        <w:t>, 9.</w:t>
      </w:r>
      <w:r>
        <w:t xml:space="preserve"> Vgl. zusammenfassend zu </w:t>
      </w:r>
      <w:proofErr w:type="spellStart"/>
      <w:r>
        <w:t>Thurneysen</w:t>
      </w:r>
      <w:proofErr w:type="spellEnd"/>
      <w:r>
        <w:t xml:space="preserve"> </w:t>
      </w:r>
      <w:r w:rsidRPr="00900D72">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Michael Klessmann 2009</w:t>
      </w:r>
      <w:r w:rsidRPr="00900D72">
        <w:fldChar w:fldCharType="end"/>
      </w:r>
      <w:r w:rsidRPr="00900D72">
        <w:t xml:space="preserve">, 58-63. Vgl. auch </w:t>
      </w:r>
      <w:r w:rsidRPr="00900D72">
        <w:fldChar w:fldCharType="begin"/>
      </w:r>
      <w:r>
        <w:instrText xml:space="preserve"> ADDIN EN.CITE &lt;EndNote&gt;&lt;Cite&gt;&lt;Author&gt;Hauschildt&lt;/Author&gt;&lt;Year&gt;1999&lt;/Year&gt;&lt;RecNum&gt;846&lt;/RecNum&gt;&lt;DisplayText&gt;Eberhard Hauschildt 1999, &lt;/DisplayText&gt;&lt;record&gt;&lt;rec-number&gt;846&lt;/rec-number&gt;&lt;foreign-keys&gt;&lt;key app="EN" db-id="0t0dxv9vetdatmef0a959d9wdwf995aa9dxw"&gt;846&lt;/key&gt;&lt;/foreign-keys&gt;&lt;ref-type name="Encyclopedia"&gt;53&lt;/ref-type&gt;&lt;contributors&gt;&lt;authors&gt;&lt;author&gt;Eberhard Hauschildt&lt;/author&gt;&lt;/authors&gt;&lt;/contributors&gt;&lt;titles&gt;&lt;title&gt;Seelsorgelehre&lt;/title&gt;&lt;secondary-title&gt;TRE &lt;/secondary-title&gt;&lt;/titles&gt;&lt;pages&gt;54-74&lt;/pages&gt;&lt;volume&gt;31&lt;/volume&gt;&lt;dates&gt;&lt;year&gt;1999&lt;/year&gt;&lt;/dates&gt;&lt;pub-location&gt;Berlin und New York&lt;/pub-location&gt;&lt;urls&gt;&lt;/urls&gt;&lt;/record&gt;&lt;/Cite&gt;&lt;/EndNote&gt;</w:instrText>
      </w:r>
      <w:r w:rsidRPr="00900D72">
        <w:fldChar w:fldCharType="separate"/>
      </w:r>
      <w:r>
        <w:rPr>
          <w:noProof/>
        </w:rPr>
        <w:t xml:space="preserve">Eberhard Hauschildt 1999, </w:t>
      </w:r>
      <w:r w:rsidRPr="00900D72">
        <w:fldChar w:fldCharType="end"/>
      </w:r>
      <w:r w:rsidRPr="00900D72">
        <w:t xml:space="preserve">60-62; </w:t>
      </w:r>
      <w:r w:rsidRPr="00900D72">
        <w:fldChar w:fldCharType="begin"/>
      </w:r>
      <w:r>
        <w:instrText xml:space="preserve"> ADDIN EN.CITE &lt;EndNote&gt;&lt;Cite&gt;&lt;Author&gt;Ziemer&lt;/Author&gt;&lt;Year&gt;2000&lt;/Year&gt;&lt;RecNum&gt;840&lt;/RecNum&gt;&lt;DisplayText&gt;Jürgen Ziemer 2000&lt;/DisplayText&gt;&lt;record&gt;&lt;rec-number&gt;840&lt;/rec-number&gt;&lt;foreign-keys&gt;&lt;key app="EN" db-id="0t0dxv9vetdatmef0a959d9wdwf995aa9dxw"&gt;840&lt;/key&gt;&lt;/foreign-keys&gt;&lt;ref-type name="Book"&gt;6&lt;/ref-type&gt;&lt;contributors&gt;&lt;authors&gt;&lt;author&gt;Jürgen Ziemer&lt;/author&gt;&lt;/authors&gt;&lt;/contributors&gt;&lt;titles&gt;&lt;title&gt;Seelsorgelehre. Eine Einführung für Studium und Praxis&lt;/title&gt;&lt;/titles&gt;&lt;dates&gt;&lt;year&gt;2000&lt;/year&gt;&lt;/dates&gt;&lt;pub-location&gt;Stuttgart&lt;/pub-location&gt;&lt;urls&gt;&lt;/urls&gt;&lt;/record&gt;&lt;/Cite&gt;&lt;/EndNote&gt;</w:instrText>
      </w:r>
      <w:r w:rsidRPr="00900D72">
        <w:fldChar w:fldCharType="separate"/>
      </w:r>
      <w:r>
        <w:rPr>
          <w:noProof/>
        </w:rPr>
        <w:t>Jürgen Ziemer 2000</w:t>
      </w:r>
      <w:r w:rsidRPr="00900D72">
        <w:fldChar w:fldCharType="end"/>
      </w:r>
      <w:r w:rsidRPr="00900D72">
        <w:t xml:space="preserve">, 81-84 oder </w:t>
      </w:r>
      <w:r w:rsidRPr="00900D72">
        <w:fldChar w:fldCharType="begin"/>
      </w:r>
      <w:r w:rsidRPr="00900D72">
        <w:instrText xml:space="preserve"> </w:instrText>
      </w:r>
      <w:r>
        <w:instrText>ADDIN</w:instrText>
      </w:r>
      <w:r w:rsidRPr="00900D72">
        <w:instrText xml:space="preserve"> EN.CITE &lt;EndNote&gt;&lt;Cite&gt;&lt;Author&gt;Nauer&lt;/Author&gt;&lt;Year&gt;2001&lt;/Year&gt;&lt;RecNum&gt;1190&lt;/RecNum&gt;&lt;DisplayText&gt;Doris Nauer 2001&lt;/DisplayText&gt;&lt;record&gt;&lt;rec-number&gt;1190&lt;/rec-number&gt;&lt;foreign-keys&gt;&lt;key app="EN" db-id="0t0dxv9vetdatmef0a959d9wdwf995aa9dxw"&gt;1190&lt;/key&gt;&lt;/foreign-keys&gt;&lt;ref-type name="Book"&gt;6&lt;/ref-type&gt;&lt;contributors&gt;&lt;authors&gt;&lt;author&gt;Doris Nauer&lt;/author&gt;&lt;/authors&gt;&lt;/contributors&gt;&lt;titles&gt;&lt;title&gt;Seelsorgekonzepte im Widerstreit&lt;/title&gt;&lt;/titles&gt;&lt;dates&gt;&lt;year&gt;2001&lt;/year&gt;&lt;/dates&gt;&lt;pub-location&gt;Stuttgart&lt;/pub-location&gt;&lt;urls&gt;&lt;/urls&gt;&lt;/record&gt;&lt;/Cite&gt;&lt;/EndNote&gt;</w:instrText>
      </w:r>
      <w:r w:rsidRPr="00900D72">
        <w:fldChar w:fldCharType="separate"/>
      </w:r>
      <w:r w:rsidRPr="00900D72">
        <w:rPr>
          <w:noProof/>
        </w:rPr>
        <w:t>Doris Nauer 2001</w:t>
      </w:r>
      <w:r w:rsidRPr="00900D72">
        <w:fldChar w:fldCharType="end"/>
      </w:r>
      <w:r w:rsidRPr="00900D72">
        <w:t>, 21-31</w:t>
      </w:r>
      <w:r>
        <w:t>.</w:t>
      </w:r>
    </w:p>
  </w:footnote>
  <w:footnote w:id="4">
    <w:p w14:paraId="75E2AF4E" w14:textId="77777777" w:rsidR="00FA025B" w:rsidRPr="00900D72" w:rsidRDefault="00FA025B" w:rsidP="0096549F">
      <w:pPr>
        <w:pStyle w:val="Funotentext"/>
      </w:pPr>
      <w:r w:rsidRPr="00491C40">
        <w:rPr>
          <w:rStyle w:val="Funotenzeichen"/>
        </w:rPr>
        <w:footnoteRef/>
      </w:r>
      <w:r w:rsidRPr="00491C40">
        <w:rPr>
          <w:rStyle w:val="Funotenzeichen"/>
        </w:rPr>
        <w:t xml:space="preserve"> </w:t>
      </w:r>
      <w:r w:rsidRPr="00900D72">
        <w:fldChar w:fldCharType="begin"/>
      </w:r>
      <w:r>
        <w:instrText xml:space="preserve"> ADDIN EN.CITE &lt;EndNote&gt;&lt;Cite&gt;&lt;Author&gt;Thurneysen&lt;/Author&gt;&lt;Year&gt;1948&lt;/Year&gt;&lt;RecNum&gt;778&lt;/RecNum&gt;&lt;DisplayText&gt;Ibid.&lt;/DisplayText&gt;&lt;record&gt;&lt;rec-number&gt;778&lt;/rec-number&gt;&lt;foreign-keys&gt;&lt;key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Ibid.</w:t>
      </w:r>
      <w:r w:rsidRPr="00900D72">
        <w:fldChar w:fldCharType="end"/>
      </w:r>
      <w:r w:rsidRPr="00900D72">
        <w:t>, 57.</w:t>
      </w:r>
    </w:p>
  </w:footnote>
  <w:footnote w:id="5">
    <w:p w14:paraId="783270E2" w14:textId="77777777" w:rsidR="00FA025B" w:rsidRPr="00900D72" w:rsidRDefault="00FA025B" w:rsidP="00CD069D">
      <w:pPr>
        <w:pStyle w:val="Funotentext"/>
      </w:pPr>
      <w:r w:rsidRPr="00491C40">
        <w:rPr>
          <w:rStyle w:val="Funotenzeichen"/>
        </w:rPr>
        <w:footnoteRef/>
      </w:r>
      <w:r w:rsidRPr="00900D72">
        <w:t xml:space="preserve"> </w:t>
      </w:r>
      <w:r w:rsidRPr="00900D72">
        <w:fldChar w:fldCharType="begin"/>
      </w:r>
      <w:r>
        <w:instrText xml:space="preserve"> ADDIN EN.CITE &lt;EndNote&gt;&lt;Cite&gt;&lt;Author&gt;Thurneysen&lt;/Author&gt;&lt;Year&gt;1928&lt;/Year&gt;&lt;RecNum&gt;1221&lt;/RecNum&gt;&lt;DisplayText&gt;Eduard Thurneysen 1928, &lt;/DisplayText&gt;&lt;record&gt;&lt;rec-number&gt;1221&lt;/rec-number&gt;&lt;foreign-keys&gt;&lt;key app="EN" db-id="0t0dxv9vetdatmef0a959d9wdwf995aa9dxw"&gt;1221&lt;/key&gt;&lt;/foreign-keys&gt;&lt;ref-type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rsidRPr="00900D72">
        <w:fldChar w:fldCharType="separate"/>
      </w:r>
      <w:r w:rsidRPr="00900D72">
        <w:rPr>
          <w:noProof/>
        </w:rPr>
        <w:t xml:space="preserve">Eduard Thurneysen 1928, </w:t>
      </w:r>
      <w:r w:rsidRPr="00900D72">
        <w:fldChar w:fldCharType="end"/>
      </w:r>
      <w:r>
        <w:t>199.</w:t>
      </w:r>
    </w:p>
  </w:footnote>
  <w:footnote w:id="6">
    <w:p w14:paraId="411AECC0" w14:textId="77777777" w:rsidR="00FA025B" w:rsidRDefault="00FA025B" w:rsidP="00CD069D">
      <w:pPr>
        <w:pStyle w:val="Funotentext"/>
      </w:pPr>
      <w:r w:rsidRPr="00491C40">
        <w:rPr>
          <w:rStyle w:val="Funotenzeichen"/>
        </w:rPr>
        <w:footnoteRef/>
      </w:r>
      <w:r w:rsidRPr="00491C40">
        <w:rPr>
          <w:rStyle w:val="Funotenzeichen"/>
        </w:rPr>
        <w:t xml:space="preserve"> </w:t>
      </w:r>
      <w:r>
        <w:fldChar w:fldCharType="begin"/>
      </w:r>
      <w:r>
        <w:instrText xml:space="preserve"> ADDIN EN.CITE &lt;EndNote&gt;&lt;Cite&gt;&lt;Author&gt;Thurneysen&lt;/Author&gt;&lt;Year&gt;1928&lt;/Year&gt;&lt;RecNum&gt;1221&lt;/RecNum&gt;&lt;DisplayText&gt;Ibid.&lt;/DisplayText&gt;&lt;record&gt;&lt;rec-number&gt;1221&lt;/rec-number&gt;&lt;foreign-keys&gt;&lt;key app="EN" db-id="0t0dxv9vetdatmef0a959d9wdwf995aa9dxw"&gt;1221&lt;/key&gt;&lt;/foreign-keys&gt;&lt;ref-type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fldChar w:fldCharType="separate"/>
      </w:r>
      <w:r>
        <w:rPr>
          <w:noProof/>
        </w:rPr>
        <w:t>Ibid.</w:t>
      </w:r>
      <w:r>
        <w:fldChar w:fldCharType="end"/>
      </w:r>
      <w:r>
        <w:t>, 212.</w:t>
      </w:r>
    </w:p>
  </w:footnote>
  <w:footnote w:id="7">
    <w:p w14:paraId="6E03982E" w14:textId="77777777" w:rsidR="00FA025B" w:rsidRPr="00900D72" w:rsidRDefault="00FA025B" w:rsidP="0096549F">
      <w:pPr>
        <w:pStyle w:val="Funotentext"/>
      </w:pPr>
      <w:r w:rsidRPr="00491C40">
        <w:rPr>
          <w:rStyle w:val="Funotenzeichen"/>
        </w:rPr>
        <w:footnoteRef/>
      </w:r>
      <w:r w:rsidRPr="00900D72">
        <w:t xml:space="preserve"> </w:t>
      </w:r>
      <w:r w:rsidRPr="00900D72">
        <w:fldChar w:fldCharType="begin"/>
      </w:r>
      <w:r>
        <w:instrText xml:space="preserve"> ADDIN EN.CITE &lt;EndNote&gt;&lt;Cite&gt;&lt;Author&gt;Thurneysen&lt;/Author&gt;&lt;Year&gt;1928&lt;/Year&gt;&lt;RecNum&gt;1221&lt;/RecNum&gt;&lt;DisplayText&gt;Ibid.&lt;/DisplayText&gt;&lt;record&gt;&lt;rec-number&gt;1221&lt;/rec-number&gt;&lt;foreign-keys&gt;&lt;key app="EN" db-id="0t0dxv9vetdatmef0a959d9wdwf995aa9dxw"&gt;1221&lt;/key&gt;&lt;/foreign-keys&gt;&lt;ref-type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rsidRPr="00900D72">
        <w:fldChar w:fldCharType="separate"/>
      </w:r>
      <w:r>
        <w:rPr>
          <w:noProof/>
        </w:rPr>
        <w:t>Ibid.</w:t>
      </w:r>
      <w:r w:rsidRPr="00900D72">
        <w:fldChar w:fldCharType="end"/>
      </w:r>
      <w:r w:rsidRPr="00900D72">
        <w:t>, 209.</w:t>
      </w:r>
    </w:p>
  </w:footnote>
  <w:footnote w:id="8">
    <w:p w14:paraId="7D9475A1" w14:textId="77777777" w:rsidR="00FA025B" w:rsidRPr="00900D72" w:rsidRDefault="00FA025B" w:rsidP="00CD069D">
      <w:pPr>
        <w:pStyle w:val="Funotentext"/>
      </w:pPr>
      <w:r w:rsidRPr="00491C40">
        <w:rPr>
          <w:rStyle w:val="Funotenzeichen"/>
        </w:rPr>
        <w:footnoteRef/>
      </w:r>
      <w:r w:rsidRPr="00900D72">
        <w:t xml:space="preserve"> Alle Zitate in diesem Absatz: </w:t>
      </w:r>
      <w:r w:rsidRPr="00900D72">
        <w:fldChar w:fldCharType="begin"/>
      </w:r>
      <w:r>
        <w:instrText xml:space="preserve"> ADDIN EN.CITE &lt;EndNote&gt;&lt;Cite&gt;&lt;Author&gt;Thurneysen&lt;/Author&gt;&lt;Year&gt;1928&lt;/Year&gt;&lt;RecNum&gt;1221&lt;/RecNum&gt;&lt;DisplayText&gt;Eduard Thurneysen 1928, &lt;/DisplayText&gt;&lt;record&gt;&lt;rec-number&gt;1221&lt;/rec-number&gt;&lt;foreign-keys&gt;&lt;key app="EN" db-id="0t0dxv9vetdatmef0a959d9wdwf995aa9dxw"&gt;1221&lt;/key&gt;&lt;/foreign-keys&gt;&lt;ref-type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rsidRPr="00900D72">
        <w:fldChar w:fldCharType="separate"/>
      </w:r>
      <w:r>
        <w:rPr>
          <w:noProof/>
        </w:rPr>
        <w:t xml:space="preserve">Eduard Thurneysen 1928, </w:t>
      </w:r>
      <w:r w:rsidRPr="00900D72">
        <w:fldChar w:fldCharType="end"/>
      </w:r>
      <w:r w:rsidRPr="00900D72">
        <w:t>211.</w:t>
      </w:r>
    </w:p>
  </w:footnote>
  <w:footnote w:id="9">
    <w:p w14:paraId="43ED77E5" w14:textId="77777777" w:rsidR="00FA025B" w:rsidRPr="00900D72" w:rsidRDefault="00FA025B" w:rsidP="0096549F">
      <w:pPr>
        <w:pStyle w:val="Funotentext"/>
      </w:pPr>
      <w:r w:rsidRPr="00491C40">
        <w:rPr>
          <w:rStyle w:val="Funotenzeichen"/>
        </w:rPr>
        <w:footnoteRef/>
      </w:r>
      <w:r w:rsidRPr="00900D72">
        <w:t xml:space="preserve"> Vgl. </w:t>
      </w:r>
      <w:r w:rsidRPr="00900D72">
        <w:fldChar w:fldCharType="begin"/>
      </w:r>
      <w:r>
        <w:instrText xml:space="preserve"> ADDIN EN.CITE &lt;EndNote&gt;&lt;Cite&gt;&lt;Author&gt;Thurneysen&lt;/Author&gt;&lt;Year&gt;1928&lt;/Year&gt;&lt;RecNum&gt;1221&lt;/RecNum&gt;&lt;DisplayText&gt;Ibid.&lt;/DisplayText&gt;&lt;record&gt;&lt;rec-number&gt;1221&lt;/rec-number&gt;&lt;foreign-keys&gt;&lt;key app="EN" db-id="0t0dxv9vetdatmef0a959d9wdwf995aa9dxw"&gt;1221&lt;/key&gt;&lt;/foreign-keys&gt;&lt;ref-type name="Journal Article"&gt;17&lt;/ref-type&gt;&lt;contributors&gt;&lt;authors&gt;&lt;author&gt;Eduard Thurneysen&lt;/author&gt;&lt;/authors&gt;&lt;/contributors&gt;&lt;titles&gt;&lt;title&gt;Rechtfertigung und Seelsorge&lt;/title&gt;&lt;secondary-title&gt;Zwischen den Zeiten&lt;/secondary-title&gt;&lt;/titles&gt;&lt;periodical&gt;&lt;full-title&gt;Zwischen den Zeiten&lt;/full-title&gt;&lt;/periodical&gt;&lt;pages&gt;208-218&lt;/pages&gt;&lt;volume&gt;6&lt;/volume&gt;&lt;dates&gt;&lt;year&gt;1928&lt;/year&gt;&lt;/dates&gt;&lt;urls&gt;&lt;/urls&gt;&lt;/record&gt;&lt;/Cite&gt;&lt;/EndNote&gt;</w:instrText>
      </w:r>
      <w:r w:rsidRPr="00900D72">
        <w:fldChar w:fldCharType="separate"/>
      </w:r>
      <w:r>
        <w:rPr>
          <w:noProof/>
        </w:rPr>
        <w:t>Ibid.</w:t>
      </w:r>
      <w:r w:rsidRPr="00900D72">
        <w:fldChar w:fldCharType="end"/>
      </w:r>
      <w:r w:rsidRPr="00900D72">
        <w:t>, 215.</w:t>
      </w:r>
    </w:p>
  </w:footnote>
  <w:footnote w:id="10">
    <w:p w14:paraId="05B23ACF" w14:textId="77777777" w:rsidR="00FA025B" w:rsidRPr="00900D72" w:rsidRDefault="00FA025B" w:rsidP="00604824">
      <w:pPr>
        <w:pStyle w:val="Funotentext"/>
      </w:pPr>
      <w:r w:rsidRPr="00491C40">
        <w:rPr>
          <w:rStyle w:val="Funotenzeichen"/>
        </w:rPr>
        <w:footnoteRef/>
      </w:r>
      <w:r w:rsidRPr="00900D72">
        <w:t xml:space="preserve"> </w:t>
      </w:r>
      <w:r w:rsidRPr="00900D72">
        <w:fldChar w:fldCharType="begin"/>
      </w:r>
      <w:r>
        <w:instrText xml:space="preserve"> ADDIN EN.CITE &lt;EndNote&gt;&lt;Cite&gt;&lt;Author&gt;Thurneysen&lt;/Author&gt;&lt;Year&gt;1948&lt;/Year&gt;&lt;RecNum&gt;778&lt;/RecNum&gt;&lt;DisplayText&gt;Ibid.&lt;/DisplayText&gt;&lt;record&gt;&lt;rec-number&gt;778&lt;/rec-number&gt;&lt;foreign-keys&gt;&lt;key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Ibid.</w:t>
      </w:r>
      <w:r w:rsidRPr="00900D72">
        <w:fldChar w:fldCharType="end"/>
      </w:r>
      <w:r w:rsidRPr="00900D72">
        <w:t>, 111.</w:t>
      </w:r>
    </w:p>
  </w:footnote>
  <w:footnote w:id="11">
    <w:p w14:paraId="59A8D00D" w14:textId="77777777" w:rsidR="00FA025B" w:rsidRPr="00900D72" w:rsidRDefault="00FA025B" w:rsidP="00604824">
      <w:pPr>
        <w:pStyle w:val="Funotentext"/>
      </w:pPr>
      <w:r w:rsidRPr="00491C40">
        <w:rPr>
          <w:rStyle w:val="Funotenzeichen"/>
        </w:rPr>
        <w:footnoteRef/>
      </w:r>
      <w:r w:rsidRPr="00900D72">
        <w:t xml:space="preserve"> Vgl. </w:t>
      </w:r>
      <w:r w:rsidRPr="00900D72">
        <w:fldChar w:fldCharType="begin"/>
      </w:r>
      <w:r>
        <w:instrText xml:space="preserve"> ADDIN EN.CITE &lt;EndNote&gt;&lt;Cite&gt;&lt;Author&gt;Thurneysen&lt;/Author&gt;&lt;Year&gt;1948&lt;/Year&gt;&lt;RecNum&gt;778&lt;/RecNum&gt;&lt;DisplayText&gt;Ibid.&lt;/DisplayText&gt;&lt;record&gt;&lt;rec-number&gt;778&lt;/rec-number&gt;&lt;foreign-keys&gt;&lt;key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Ibid.</w:t>
      </w:r>
      <w:r w:rsidRPr="00900D72">
        <w:fldChar w:fldCharType="end"/>
      </w:r>
      <w:r w:rsidRPr="00900D72">
        <w:t>, 114f.</w:t>
      </w:r>
    </w:p>
  </w:footnote>
  <w:footnote w:id="12">
    <w:p w14:paraId="6529C85F" w14:textId="77777777" w:rsidR="00FA025B" w:rsidRPr="00900D72" w:rsidRDefault="00FA025B" w:rsidP="0096549F">
      <w:pPr>
        <w:pStyle w:val="Funotentext"/>
      </w:pPr>
      <w:r w:rsidRPr="00491C40">
        <w:rPr>
          <w:rStyle w:val="Funotenzeichen"/>
        </w:rPr>
        <w:footnoteRef/>
      </w:r>
      <w:r w:rsidRPr="00491C40">
        <w:rPr>
          <w:rStyle w:val="Funotenzeichen"/>
        </w:rPr>
        <w:t xml:space="preserve"> </w:t>
      </w:r>
      <w:r w:rsidRPr="00900D72">
        <w:fldChar w:fldCharType="begin"/>
      </w:r>
      <w:r>
        <w:instrText xml:space="preserve"> ADDIN EN.CITE &lt;EndNote&gt;&lt;Cite&gt;&lt;Author&gt;Thurneysen&lt;/Author&gt;&lt;Year&gt;1948&lt;/Year&gt;&lt;RecNum&gt;778&lt;/RecNum&gt;&lt;DisplayText&gt;Ibid.&lt;/DisplayText&gt;&lt;record&gt;&lt;rec-number&gt;778&lt;/rec-number&gt;&lt;foreign-keys&gt;&lt;key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Ibid.</w:t>
      </w:r>
      <w:r w:rsidRPr="00900D72">
        <w:fldChar w:fldCharType="end"/>
      </w:r>
      <w:r w:rsidRPr="00900D72">
        <w:t>, 128.</w:t>
      </w:r>
    </w:p>
  </w:footnote>
  <w:footnote w:id="13">
    <w:p w14:paraId="205BE574" w14:textId="2B061F23" w:rsidR="00FA025B" w:rsidRPr="00900D72" w:rsidRDefault="00FA025B" w:rsidP="00BD69E4">
      <w:pPr>
        <w:pStyle w:val="Funotentext"/>
      </w:pPr>
      <w:r w:rsidRPr="00896CE6">
        <w:rPr>
          <w:rStyle w:val="Funotenzeichen"/>
        </w:rPr>
        <w:footnoteRef/>
      </w:r>
      <w:r w:rsidRPr="00896CE6">
        <w:rPr>
          <w:rStyle w:val="Funotenzeichen"/>
        </w:rPr>
        <w:t xml:space="preserve"> </w:t>
      </w:r>
      <w:r>
        <w:t xml:space="preserve">Zum kritischen Urteil über </w:t>
      </w:r>
      <w:proofErr w:type="spellStart"/>
      <w:r>
        <w:t>Thurneysen</w:t>
      </w:r>
      <w:proofErr w:type="spellEnd"/>
      <w:r>
        <w:t xml:space="preserve"> vgl. </w:t>
      </w:r>
      <w:r w:rsidRPr="00900D72">
        <w:fldChar w:fldCharType="begin"/>
      </w:r>
      <w:r>
        <w:instrText xml:space="preserve"> ADDIN EN.CITE &lt;EndNote&gt;&lt;Cite&gt;&lt;Author&gt;Scharfenberg&lt;/Author&gt;&lt;Year&gt;1991&lt;/Year&gt;&lt;RecNum&gt;1227&lt;/RecNum&gt;&lt;DisplayText&gt;Joachim Scharfenberg 1991; ibid.&lt;/DisplayText&gt;&lt;record&gt;&lt;rec-number&gt;1227&lt;/rec-number&gt;&lt;foreign-keys&gt;&lt;key app="EN" db-id="0t0dxv9vetdatmef0a959d9wdwf995aa9dxw"&gt;1227&lt;/key&gt;&lt;/foreign-keys&gt;&lt;ref-type name="Book"&gt;6&lt;/ref-type&gt;&lt;contributors&gt;&lt;authors&gt;&lt;author&gt;Joachim Scharfenberg&lt;/author&gt;&lt;/authors&gt;&lt;/contributors&gt;&lt;titles&gt;&lt;title&gt;Seelsorge als Gespräch&lt;/title&gt;&lt;/titles&gt;&lt;edition&gt;5. Aufl. &lt;/edition&gt;&lt;dates&gt;&lt;year&gt;1991&lt;/year&gt;&lt;/dates&gt;&lt;pub-location&gt;Göttingen&lt;/pub-location&gt;&lt;urls&gt;&lt;/urls&gt;&lt;/record&gt;&lt;/Cite&gt;&lt;Cite&gt;&lt;Author&gt;Scharfenberg&lt;/Author&gt;&lt;Year&gt;1991&lt;/Year&gt;&lt;RecNum&gt;1227&lt;/RecNum&gt;&lt;record&gt;&lt;rec-number&gt;1227&lt;/rec-number&gt;&lt;foreign-keys&gt;&lt;key app="EN" db-id="0t0dxv9vetdatmef0a959d9wdwf995aa9dxw"&gt;1227&lt;/key&gt;&lt;/foreign-keys&gt;&lt;ref-type name="Book"&gt;6&lt;/ref-type&gt;&lt;contributors&gt;&lt;authors&gt;&lt;author&gt;Joachim Scharfenberg&lt;/author&gt;&lt;/authors&gt;&lt;/contributors&gt;&lt;titles&gt;&lt;title&gt;Seelsorge als Gespräch&lt;/title&gt;&lt;/titles&gt;&lt;edition&gt;5. Aufl. &lt;/edition&gt;&lt;dates&gt;&lt;year&gt;1991&lt;/year&gt;&lt;/dates&gt;&lt;pub-location&gt;Göttingen&lt;/pub-location&gt;&lt;urls&gt;&lt;/urls&gt;&lt;/record&gt;&lt;/Cite&gt;&lt;/EndNote&gt;</w:instrText>
      </w:r>
      <w:r w:rsidRPr="00900D72">
        <w:fldChar w:fldCharType="separate"/>
      </w:r>
      <w:r>
        <w:rPr>
          <w:noProof/>
        </w:rPr>
        <w:t>Joachim Scharfenberg 1991; ibid.</w:t>
      </w:r>
      <w:r w:rsidRPr="00900D72">
        <w:fldChar w:fldCharType="end"/>
      </w:r>
      <w:r>
        <w:t xml:space="preserve">, 14-19; </w:t>
      </w:r>
      <w:r w:rsidRPr="00900D72">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Michael Klessmann 2009</w:t>
      </w:r>
      <w:r w:rsidRPr="00900D72">
        <w:fldChar w:fldCharType="end"/>
      </w:r>
      <w:r>
        <w:t xml:space="preserve">, 61; </w:t>
      </w:r>
      <w:r w:rsidRPr="00900D72">
        <w:fldChar w:fldCharType="begin"/>
      </w:r>
      <w:r w:rsidRPr="00900D72">
        <w:instrText xml:space="preserve"> </w:instrText>
      </w:r>
      <w:r>
        <w:instrText>ADDIN</w:instrText>
      </w:r>
      <w:r w:rsidRPr="00900D72">
        <w:instrText xml:space="preserve"> EN.CITE &lt;EndNote&gt;&lt;Cite&gt;&lt;Author&gt;Gräb&lt;/Author&gt;&lt;Year&gt;1998&lt;/Year&gt;&lt;RecNum&gt;1051&lt;/RecNum&gt;&lt;DisplayText&gt;Wilhelm Gräb 1998&lt;/DisplayText&gt;&lt;record&gt;&lt;rec-number&gt;1051&lt;/rec-number&gt;&lt;foreign-keys&gt;&lt;key app="EN" db-id="0t0dxv9vetdatmef0a959d9wdwf995aa9dxw"&gt;1051&lt;/key&gt;&lt;/foreign-keys&gt;&lt;ref-type name="Book"&gt;6&lt;/ref-type&gt;&lt;contributors&gt;&lt;authors&gt;&lt;author&gt;Wilhelm Gräb&lt;/author&gt;&lt;/authors&gt;&lt;/contributors&gt;&lt;titles&gt;&lt;title&gt;Lebensgeschichten - Lebensentwürfe - Sinndeutungen. Eine praktische Theologie gelebter Religion&lt;/title&gt;&lt;/titles&gt;&lt;dates&gt;&lt;year&gt;1998&lt;/year&gt;&lt;/dates&gt;&lt;pub-location&gt;Gütersloh&lt;/pub-location&gt;&lt;urls&gt;&lt;/urls&gt;&lt;/record&gt;&lt;/Cite&gt;&lt;/EndNote&gt;</w:instrText>
      </w:r>
      <w:r w:rsidRPr="00900D72">
        <w:fldChar w:fldCharType="separate"/>
      </w:r>
      <w:r w:rsidRPr="00900D72">
        <w:rPr>
          <w:noProof/>
        </w:rPr>
        <w:t>Wilhelm Gräb 1998</w:t>
      </w:r>
      <w:r w:rsidRPr="00900D72">
        <w:fldChar w:fldCharType="end"/>
      </w:r>
      <w:r w:rsidRPr="00900D72">
        <w:t>, 214.</w:t>
      </w:r>
      <w:r>
        <w:t xml:space="preserve"> Vgl. deutlich milder auch </w:t>
      </w:r>
      <w:r w:rsidRPr="00900D72">
        <w:fldChar w:fldCharType="begin"/>
      </w:r>
      <w:r w:rsidRPr="00900D72">
        <w:instrText xml:space="preserve"> </w:instrText>
      </w:r>
      <w:r>
        <w:instrText>ADDIN</w:instrText>
      </w:r>
      <w:r w:rsidRPr="00900D72">
        <w:instrText xml:space="preserve"> EN.CITE &lt;EndNote&gt;&lt;Cite&gt;&lt;Author&gt;Kurz&lt;/Author&gt;&lt;Year&gt;1985&lt;/Year&gt;&lt;RecNum&gt;1223&lt;/RecNum&gt;&lt;DisplayText&gt;Wolfram Kurz 1985, &lt;/DisplayText&gt;&lt;record&gt;&lt;rec-number&gt;1223&lt;/rec-number&gt;&lt;foreign-keys&gt;&lt;key app="EN" db-id="0t0dxv9vetdatmef0a959d9wdwf995aa9dxw"&gt;1223&lt;/key&gt;&lt;/foreign-keys&gt;&lt;ref-type name="Journal Article"&gt;17&lt;/ref-type&gt;&lt;contributors&gt;&lt;authors&gt;&lt;author&gt;Wolfram Kurz&lt;/author&gt;&lt;/authors&gt;&lt;/contributors&gt;&lt;titles&gt;&lt;title&gt;Der Bruch im seelsorglichen Gespräch&lt;/title&gt;&lt;secondary-title&gt;PTh&lt;/secondary-title&gt;&lt;/titles&gt;&lt;periodical&gt;&lt;full-title&gt;PTh&lt;/full-title&gt;&lt;/periodical&gt;&lt;pages&gt;436-451&lt;/pages&gt;&lt;volume&gt;74&lt;/volume&gt;&lt;dates&gt;&lt;year&gt;1985&lt;/year&gt;&lt;/dates&gt;&lt;urls&gt;&lt;/urls&gt;&lt;/record&gt;&lt;/Cite&gt;&lt;/EndNote&gt;</w:instrText>
      </w:r>
      <w:r w:rsidRPr="00900D72">
        <w:fldChar w:fldCharType="separate"/>
      </w:r>
      <w:r w:rsidRPr="00900D72">
        <w:rPr>
          <w:noProof/>
        </w:rPr>
        <w:t xml:space="preserve">Wolfram Kurz 1985, </w:t>
      </w:r>
      <w:r w:rsidRPr="00900D72">
        <w:fldChar w:fldCharType="end"/>
      </w:r>
      <w:r w:rsidRPr="00900D72">
        <w:t>436-451</w:t>
      </w:r>
      <w:r>
        <w:t xml:space="preserve">; </w:t>
      </w:r>
      <w:r w:rsidRPr="00900D72">
        <w:fldChar w:fldCharType="begin"/>
      </w:r>
      <w:r w:rsidRPr="00900D72">
        <w:instrText xml:space="preserve"> </w:instrText>
      </w:r>
      <w:r>
        <w:instrText>ADDIN</w:instrText>
      </w:r>
      <w:r w:rsidRPr="00900D72">
        <w:instrText xml:space="preserve"> EN.CITE &lt;EndNote&gt;&lt;Cite&gt;&lt;Author&gt;Karle&lt;/Author&gt;&lt;Year&gt;2003&lt;/Year&gt;&lt;RecNum&gt;1791&lt;/RecNum&gt;&lt;DisplayText&gt;Isolde Karle 2003, &lt;/DisplayText&gt;&lt;record&gt;&lt;rec-number&gt;1791&lt;/rec-number&gt;&lt;foreign-keys&gt;&lt;key app="EN" db-id="0t0dxv9vetdatmef0a959d9wdwf995aa9dxw"&gt;1791&lt;/key&gt;&lt;/foreign-keys&gt;&lt;ref-type name="Journal Article"&gt;17&lt;/ref-type&gt;&lt;contributors&gt;&lt;authors&gt;&lt;author&gt;Isolde Karle&lt;/author&gt;&lt;/authors&gt;&lt;/contributors&gt;&lt;titles&gt;&lt;title&gt;Seelsorge im Horizont der Hoffnung. Eduard Thurneysens Seelsorgelehre in systemtheoretischer Perspektive&lt;/title&gt;&lt;secondary-title&gt;EvTh&lt;/secondary-title&gt;&lt;/titles&gt;&lt;periodical&gt;&lt;full-title&gt;EvTh&lt;/full-title&gt;&lt;/periodical&gt;&lt;pages&gt;165-181&lt;/pages&gt;&lt;volume&gt;63&lt;/volume&gt;&lt;number&gt;&amp;#xD;&lt;/number&gt;&lt;dates&gt;&lt;year&gt;2003&lt;/year&gt;&lt;/dates&gt;&lt;urls&gt;&lt;/urls&gt;&lt;/record&gt;&lt;/Cite&gt;&lt;/EndNote&gt;</w:instrText>
      </w:r>
      <w:r w:rsidRPr="00900D72">
        <w:fldChar w:fldCharType="separate"/>
      </w:r>
      <w:r w:rsidRPr="00900D72">
        <w:rPr>
          <w:noProof/>
        </w:rPr>
        <w:t xml:space="preserve">Isolde Karle 2003, </w:t>
      </w:r>
      <w:r w:rsidRPr="00900D72">
        <w:fldChar w:fldCharType="end"/>
      </w:r>
      <w:r>
        <w:t xml:space="preserve">165-181; </w:t>
      </w:r>
      <w:r w:rsidRPr="00900D72">
        <w:fldChar w:fldCharType="begin"/>
      </w:r>
      <w:r>
        <w:instrText xml:space="preserve"> ADDIN EN.CITE &lt;EndNote&gt;&lt;Cite&gt;&lt;Author&gt;Grözinger&lt;/Author&gt;&lt;Year&gt;1996&lt;/Year&gt;&lt;RecNum&gt;1219&lt;/RecNum&gt;&lt;DisplayText&gt;Albrecht Grözinger 1996, &lt;/DisplayText&gt;&lt;record&gt;&lt;rec-number&gt;1219&lt;/rec-number&gt;&lt;foreign-keys&gt;&lt;key app="EN" db-id="0t0dxv9vetdatmef0a959d9wdwf995aa9dxw"&gt;1219&lt;/key&gt;&lt;/foreign-keys&gt;&lt;ref-type name="Book Section"&gt;5&lt;/ref-type&gt;&lt;contributors&gt;&lt;authors&gt;&lt;author&gt;Albrecht Grözinger&lt;/author&gt;&lt;/authors&gt;&lt;secondary-authors&gt;&lt;author&gt;Christian Möller&lt;/author&gt;&lt;/secondary-authors&gt;&lt;/contributors&gt;&lt;titles&gt;&lt;title&gt;Eduard Thurneysen&lt;/title&gt;&lt;secondary-title&gt;Geschichte der Seelsorge in Einzelporträts&lt;/secondary-title&gt;&lt;/titles&gt;&lt;pages&gt;277-294&lt;/pages&gt;&lt;volume&gt;Bd. 3 &lt;/volume&gt;&lt;dates&gt;&lt;year&gt;1996&lt;/year&gt;&lt;/dates&gt;&lt;pub-location&gt;Neukirchen-Vluyn&lt;/pub-location&gt;&lt;urls&gt;&lt;/urls&gt;&lt;/record&gt;&lt;/Cite&gt;&lt;/EndNote&gt;</w:instrText>
      </w:r>
      <w:r w:rsidRPr="00900D72">
        <w:fldChar w:fldCharType="separate"/>
      </w:r>
      <w:r>
        <w:rPr>
          <w:noProof/>
        </w:rPr>
        <w:t xml:space="preserve">Albrecht Grözinger 1996, </w:t>
      </w:r>
      <w:r w:rsidRPr="00900D72">
        <w:fldChar w:fldCharType="end"/>
      </w:r>
      <w:r>
        <w:t xml:space="preserve">283. </w:t>
      </w:r>
      <w:r w:rsidRPr="00900D72">
        <w:t xml:space="preserve">Vgl. das engagierte Plädoyer für eine Neubewertung </w:t>
      </w:r>
      <w:proofErr w:type="spellStart"/>
      <w:r w:rsidRPr="00900D72">
        <w:t>Thurneysens</w:t>
      </w:r>
      <w:proofErr w:type="spellEnd"/>
      <w:r w:rsidRPr="00900D72">
        <w:t xml:space="preserve"> bei </w:t>
      </w:r>
      <w:r w:rsidRPr="00900D72">
        <w:fldChar w:fldCharType="begin"/>
      </w:r>
      <w:r>
        <w:instrText xml:space="preserve"> ADDIN EN.CITE &lt;EndNote&gt;&lt;Cite&gt;&lt;Author&gt;Raschzok&lt;/Author&gt;&lt;Year&gt;1995&lt;/Year&gt;&lt;RecNum&gt;1220&lt;/RecNum&gt;&lt;DisplayText&gt;Klaus Raschzok 1995, &lt;/DisplayText&gt;&lt;record&gt;&lt;rec-number&gt;1220&lt;/rec-number&gt;&lt;foreign-keys&gt;&lt;key app="EN" db-id="0t0dxv9vetdatmef0a959d9wdwf995aa9dxw"&gt;1220&lt;/key&gt;&lt;/foreign-keys&gt;&lt;ref-type name="Journal Article"&gt;17&lt;/ref-type&gt;&lt;contributors&gt;&lt;authors&gt;&lt;author&gt;Klaus Raschzok&lt;/author&gt;&lt;/authors&gt;&lt;/contributors&gt;&lt;titles&gt;&lt;title&gt;Ein theologisches Programm für die Praxis der Kirche. Die Bedeutung des Werkes Eduard Thurneysens für eine gegenwärtig zu verantwortende Praktische Theologie&lt;/title&gt;&lt;secondary-title&gt;ThLZ&lt;/secondary-title&gt;&lt;/titles&gt;&lt;periodical&gt;&lt;full-title&gt;ThLZ&lt;/full-title&gt;&lt;/periodical&gt;&lt;pages&gt;299-312&lt;/pages&gt;&lt;volume&gt;120&lt;/volume&gt;&lt;dates&gt;&lt;year&gt;1995&lt;/year&gt;&lt;/dates&gt;&lt;urls&gt;&lt;/urls&gt;&lt;/record&gt;&lt;/Cite&gt;&lt;/EndNote&gt;</w:instrText>
      </w:r>
      <w:r w:rsidRPr="00900D72">
        <w:fldChar w:fldCharType="separate"/>
      </w:r>
      <w:r w:rsidRPr="00900D72">
        <w:rPr>
          <w:noProof/>
        </w:rPr>
        <w:t xml:space="preserve">Klaus Raschzok 1995, </w:t>
      </w:r>
      <w:r w:rsidRPr="00900D72">
        <w:fldChar w:fldCharType="end"/>
      </w:r>
      <w:r w:rsidRPr="00900D72">
        <w:t>299-312.</w:t>
      </w:r>
    </w:p>
  </w:footnote>
  <w:footnote w:id="14">
    <w:p w14:paraId="181C8804" w14:textId="77777777" w:rsidR="00FA025B" w:rsidRDefault="00FA025B" w:rsidP="0096549F">
      <w:pPr>
        <w:pStyle w:val="Funotentext"/>
      </w:pPr>
      <w:r>
        <w:rPr>
          <w:rStyle w:val="Funotenzeichen"/>
          <w:rFonts w:eastAsiaTheme="majorEastAsia"/>
        </w:rPr>
        <w:footnoteRef/>
      </w:r>
      <w:r>
        <w:t xml:space="preserve"> </w:t>
      </w:r>
      <w:r>
        <w:fldChar w:fldCharType="begin"/>
      </w:r>
      <w:r>
        <w:instrText xml:space="preserve"> ADDIN EN.CITE &lt;EndNote&gt;&lt;Cite&gt;&lt;Author&gt;Grözinger&lt;/Author&gt;&lt;Year&gt;1996&lt;/Year&gt;&lt;RecNum&gt;1219&lt;/RecNum&gt;&lt;DisplayText&gt;Albrecht Grözinger 1996, &lt;/DisplayText&gt;&lt;record&gt;&lt;rec-number&gt;1219&lt;/rec-number&gt;&lt;foreign-keys&gt;&lt;key app="EN" db-id="0t0dxv9vetdatmef0a959d9wdwf995aa9dxw"&gt;1219&lt;/key&gt;&lt;/foreign-keys&gt;&lt;ref-type name="Book Section"&gt;5&lt;/ref-type&gt;&lt;contributors&gt;&lt;authors&gt;&lt;author&gt;Albrecht Grözinger&lt;/author&gt;&lt;/authors&gt;&lt;secondary-authors&gt;&lt;author&gt;Christian Möller&lt;/author&gt;&lt;/secondary-authors&gt;&lt;/contributors&gt;&lt;titles&gt;&lt;title&gt;Eduard Thurneysen&lt;/title&gt;&lt;secondary-title&gt;Geschichte der Seelsorge in Einzelporträts&lt;/secondary-title&gt;&lt;/titles&gt;&lt;pages&gt;277-294&lt;/pages&gt;&lt;volume&gt;Bd. 3 &lt;/volume&gt;&lt;dates&gt;&lt;year&gt;1996&lt;/year&gt;&lt;/dates&gt;&lt;pub-location&gt;Neukirchen-Vluyn&lt;/pub-location&gt;&lt;urls&gt;&lt;/urls&gt;&lt;/record&gt;&lt;/Cite&gt;&lt;/EndNote&gt;</w:instrText>
      </w:r>
      <w:r>
        <w:fldChar w:fldCharType="separate"/>
      </w:r>
      <w:r>
        <w:rPr>
          <w:noProof/>
        </w:rPr>
        <w:t xml:space="preserve">Albrecht Grözinger 1996, </w:t>
      </w:r>
      <w:r>
        <w:fldChar w:fldCharType="end"/>
      </w:r>
      <w:r>
        <w:t>283.</w:t>
      </w:r>
    </w:p>
  </w:footnote>
  <w:footnote w:id="15">
    <w:p w14:paraId="0E70D117" w14:textId="71842742" w:rsidR="00FA025B" w:rsidRPr="00900D72" w:rsidRDefault="00FA025B" w:rsidP="00AD2771">
      <w:pPr>
        <w:pStyle w:val="Funotentext"/>
      </w:pPr>
      <w:r w:rsidRPr="004E0D59">
        <w:rPr>
          <w:rStyle w:val="Funotenzeichen"/>
        </w:rPr>
        <w:footnoteRef/>
      </w:r>
      <w:r w:rsidRPr="00900D72">
        <w:t xml:space="preserve"> </w:t>
      </w:r>
      <w:r w:rsidRPr="00AD2771">
        <w:rPr>
          <w:szCs w:val="20"/>
        </w:rPr>
        <w:fldChar w:fldCharType="begin"/>
      </w:r>
      <w:r w:rsidRPr="00AD2771">
        <w:rPr>
          <w:szCs w:val="20"/>
        </w:rPr>
        <w:instrText xml:space="preserve"> ADDIN EN.CITE &lt;EndNote&gt;&lt;Cite&gt;&lt;Author&gt;Bukowski&lt;/Author&gt;&lt;Year&gt;1999&lt;/Year&gt;&lt;RecNum&gt;1044&lt;/RecNum&gt;&lt;DisplayText&gt;Peter Bukowski 1999&lt;/DisplayText&gt;&lt;record&gt;&lt;rec-number&gt;1044&lt;/rec-number&gt;&lt;foreign-keys&gt;&lt;key app="EN" db-id="0t0dxv9vetdatmef0a959d9wdwf995aa9dxw"&gt;1044&lt;/key&gt;&lt;/foreign-keys&gt;&lt;ref-type name="Book"&gt;6&lt;/ref-type&gt;&lt;contributors&gt;&lt;authors&gt;&lt;author&gt;Peter Bukowski&lt;/author&gt;&lt;/authors&gt;&lt;/contributors&gt;&lt;titles&gt;&lt;title&gt;Die Bibel ins Gespräch bringen&lt;/title&gt;&lt;/titles&gt;&lt;edition&gt;4. Aufl. &lt;/edition&gt;&lt;dates&gt;&lt;year&gt;1999&lt;/year&gt;&lt;/dates&gt;&lt;pub-location&gt;Neukirchen-Vluyn&lt;/pub-location&gt;&lt;urls&gt;&lt;/urls&gt;&lt;/record&gt;&lt;/Cite&gt;&lt;/EndNote&gt;</w:instrText>
      </w:r>
      <w:r w:rsidRPr="00AD2771">
        <w:rPr>
          <w:szCs w:val="20"/>
        </w:rPr>
        <w:fldChar w:fldCharType="separate"/>
      </w:r>
      <w:r w:rsidRPr="00AD2771">
        <w:rPr>
          <w:noProof/>
          <w:szCs w:val="20"/>
        </w:rPr>
        <w:t>Peter Bukowski 1999</w:t>
      </w:r>
      <w:r w:rsidRPr="00AD2771">
        <w:rPr>
          <w:szCs w:val="20"/>
        </w:rPr>
        <w:fldChar w:fldCharType="end"/>
      </w:r>
      <w:r w:rsidRPr="00AD2771">
        <w:rPr>
          <w:szCs w:val="20"/>
        </w:rPr>
        <w:t xml:space="preserve">, 11. </w:t>
      </w:r>
      <w:bookmarkStart w:id="6" w:name="OLE_LINK18"/>
      <w:bookmarkStart w:id="7" w:name="OLE_LINK19"/>
      <w:r w:rsidRPr="00AD2771">
        <w:rPr>
          <w:szCs w:val="20"/>
        </w:rPr>
        <w:t xml:space="preserve">„Die </w:t>
      </w:r>
      <w:proofErr w:type="spellStart"/>
      <w:r w:rsidRPr="00AD2771">
        <w:rPr>
          <w:szCs w:val="20"/>
        </w:rPr>
        <w:t>SeelsorgerInnen</w:t>
      </w:r>
      <w:proofErr w:type="spellEnd"/>
      <w:r w:rsidRPr="00AD2771">
        <w:rPr>
          <w:szCs w:val="20"/>
        </w:rPr>
        <w:t xml:space="preserve"> müssen sich heute nicht mehr an der unfruchtbaren Grundsatzfrage abarbeiten, </w:t>
      </w:r>
      <w:r w:rsidRPr="00AD2771">
        <w:rPr>
          <w:i/>
          <w:iCs/>
          <w:szCs w:val="20"/>
        </w:rPr>
        <w:t>ob</w:t>
      </w:r>
      <w:r w:rsidRPr="00AD2771">
        <w:rPr>
          <w:szCs w:val="20"/>
        </w:rPr>
        <w:t xml:space="preserve"> sie den Glauben ins Gespräch bringen </w:t>
      </w:r>
      <w:r w:rsidRPr="00AD2771">
        <w:rPr>
          <w:i/>
          <w:iCs/>
          <w:szCs w:val="20"/>
        </w:rPr>
        <w:t xml:space="preserve">'müssen' </w:t>
      </w:r>
      <w:r w:rsidRPr="00AD2771">
        <w:rPr>
          <w:szCs w:val="20"/>
        </w:rPr>
        <w:t>(um das 'Eigentliche' nicht vo</w:t>
      </w:r>
      <w:r w:rsidRPr="00AD2771">
        <w:rPr>
          <w:szCs w:val="20"/>
        </w:rPr>
        <w:t>r</w:t>
      </w:r>
      <w:r w:rsidRPr="00AD2771">
        <w:rPr>
          <w:szCs w:val="20"/>
        </w:rPr>
        <w:t xml:space="preserve">zuenthalten) bzw. ob sie ihn </w:t>
      </w:r>
      <w:r w:rsidRPr="00AD2771">
        <w:rPr>
          <w:i/>
          <w:iCs/>
          <w:szCs w:val="20"/>
        </w:rPr>
        <w:t>nicht</w:t>
      </w:r>
      <w:r w:rsidRPr="00AD2771">
        <w:rPr>
          <w:szCs w:val="20"/>
        </w:rPr>
        <w:t xml:space="preserve"> ins Gespräch bringen '</w:t>
      </w:r>
      <w:r w:rsidRPr="00AD2771">
        <w:rPr>
          <w:i/>
          <w:iCs/>
          <w:szCs w:val="20"/>
        </w:rPr>
        <w:t xml:space="preserve">dürfen' </w:t>
      </w:r>
      <w:r w:rsidRPr="00AD2771">
        <w:rPr>
          <w:szCs w:val="20"/>
        </w:rPr>
        <w:t>(um das Gegenüber nicht zu verprellen), so</w:t>
      </w:r>
      <w:r w:rsidRPr="00AD2771">
        <w:rPr>
          <w:szCs w:val="20"/>
        </w:rPr>
        <w:t>n</w:t>
      </w:r>
      <w:r w:rsidRPr="00AD2771">
        <w:rPr>
          <w:szCs w:val="20"/>
        </w:rPr>
        <w:t xml:space="preserve">dern sie werden auf vielfache Weise angeleitet, </w:t>
      </w:r>
      <w:r w:rsidRPr="00AD2771">
        <w:rPr>
          <w:i/>
          <w:iCs/>
          <w:szCs w:val="20"/>
        </w:rPr>
        <w:t>wann</w:t>
      </w:r>
      <w:r w:rsidRPr="00AD2771">
        <w:rPr>
          <w:szCs w:val="20"/>
        </w:rPr>
        <w:t xml:space="preserve"> und </w:t>
      </w:r>
      <w:r w:rsidRPr="00AD2771">
        <w:rPr>
          <w:i/>
          <w:iCs/>
          <w:szCs w:val="20"/>
        </w:rPr>
        <w:t>wie</w:t>
      </w:r>
      <w:r w:rsidRPr="00AD2771">
        <w:rPr>
          <w:szCs w:val="20"/>
        </w:rPr>
        <w:t xml:space="preserve"> die Tradition ihr seelsorgliches Handeln fördert und profiliert.“</w:t>
      </w:r>
      <w:bookmarkEnd w:id="6"/>
      <w:bookmarkEnd w:id="7"/>
      <w:r w:rsidRPr="00AD2771">
        <w:rPr>
          <w:szCs w:val="20"/>
        </w:rPr>
        <w:t xml:space="preserve"> (</w:t>
      </w:r>
      <w:r w:rsidRPr="00AD2771">
        <w:rPr>
          <w:szCs w:val="20"/>
        </w:rPr>
        <w:fldChar w:fldCharType="begin"/>
      </w:r>
      <w:r w:rsidRPr="00AD2771">
        <w:rPr>
          <w:szCs w:val="20"/>
        </w:rPr>
        <w:instrText xml:space="preserve"> ADDIN EN.CITE &lt;EndNote&gt;&lt;Cite&gt;&lt;Author&gt;Bukowski&lt;/Author&gt;&lt;Year&gt;2007&lt;/Year&gt;&lt;RecNum&gt;1049&lt;/RecNum&gt;&lt;DisplayText&gt;Peter Bukowski 2007, &lt;/DisplayText&gt;&lt;record&gt;&lt;rec-number&gt;1049&lt;/rec-number&gt;&lt;foreign-keys&gt;&lt;key app="EN" db-id="0t0dxv9vetdatmef0a959d9wdwf995aa9dxw"&gt;1049&lt;/key&gt;&lt;/foreign-keys&gt;&lt;ref-type name="Book Section"&gt;5&lt;/ref-type&gt;&lt;contributors&gt;&lt;authors&gt;&lt;author&gt;Peter Bukowski&lt;/author&gt;&lt;/authors&gt;&lt;secondary-authors&gt;&lt;author&gt;Wilfried Engemann&lt;/author&gt;&lt;/secondary-authors&gt;&lt;/contributors&gt;&lt;titles&gt;&lt;title&gt;Die christliche Tradition im Blickpunkt der Seelsorge&lt;/title&gt;&lt;secondary-title&gt;Handbuch der Seelsorge. Grundlagen und Profile&lt;/secondary-title&gt;&lt;/titles&gt;&lt;pages&gt;187-201&lt;/pages&gt;&lt;dates&gt;&lt;year&gt;2007&lt;/year&gt;&lt;/dates&gt;&lt;pub-location&gt;Leipzig&lt;/pub-location&gt;&lt;urls&gt;&lt;/urls&gt;&lt;/record&gt;&lt;/Cite&gt;&lt;/EndNote&gt;</w:instrText>
      </w:r>
      <w:r w:rsidRPr="00AD2771">
        <w:rPr>
          <w:szCs w:val="20"/>
        </w:rPr>
        <w:fldChar w:fldCharType="separate"/>
      </w:r>
      <w:r w:rsidRPr="00AD2771">
        <w:rPr>
          <w:noProof/>
          <w:szCs w:val="20"/>
        </w:rPr>
        <w:t xml:space="preserve">Peter Bukowski 2007, </w:t>
      </w:r>
      <w:r w:rsidRPr="00AD2771">
        <w:rPr>
          <w:szCs w:val="20"/>
        </w:rPr>
        <w:fldChar w:fldCharType="end"/>
      </w:r>
      <w:r w:rsidRPr="00AD2771">
        <w:rPr>
          <w:szCs w:val="20"/>
        </w:rPr>
        <w:t>188)</w:t>
      </w:r>
      <w:r>
        <w:rPr>
          <w:szCs w:val="20"/>
        </w:rPr>
        <w:t xml:space="preserve"> Zum Potential biblischer Texte bzw. Sprache in der Seelsorge vgl. </w:t>
      </w:r>
      <w:r w:rsidRPr="00900D72">
        <w:fldChar w:fldCharType="begin"/>
      </w:r>
      <w:r>
        <w:instrText xml:space="preserve"> ADDIN EN.CITE &lt;EndNote&gt;&lt;Cite&gt;&lt;Author&gt;Bukowski&lt;/Author&gt;&lt;Year&gt;2007&lt;/Year&gt;&lt;RecNum&gt;1049&lt;/RecNum&gt;&lt;DisplayText&gt;Peter Bukowski 2007, &lt;/DisplayText&gt;&lt;record&gt;&lt;rec-number&gt;1049&lt;/rec-number&gt;&lt;foreign-keys&gt;&lt;key app="EN" db-id="0t0dxv9vetdatmef0a959d9wdwf995aa9dxw"&gt;1049&lt;/key&gt;&lt;/foreign-keys&gt;&lt;ref-type name="Book Section"&gt;5&lt;/ref-type&gt;&lt;contributors&gt;&lt;authors&gt;&lt;author&gt;Peter Bukowski&lt;/author&gt;&lt;/authors&gt;&lt;secondary-authors&gt;&lt;author&gt;Wilfried Engemann&lt;/author&gt;&lt;/secondary-authors&gt;&lt;/contributors&gt;&lt;titles&gt;&lt;title&gt;Die christliche Tradition im Blickpunkt der Seelsorge&lt;/title&gt;&lt;secondary-title&gt;Handbuch der Seelsorge. Grundlagen und Profile&lt;/secondary-title&gt;&lt;/titles&gt;&lt;pages&gt;187-201&lt;/pages&gt;&lt;dates&gt;&lt;year&gt;2007&lt;/year&gt;&lt;/dates&gt;&lt;pub-location&gt;Leipzig&lt;/pub-location&gt;&lt;urls&gt;&lt;/urls&gt;&lt;/record&gt;&lt;/Cite&gt;&lt;/EndNote&gt;</w:instrText>
      </w:r>
      <w:r w:rsidRPr="00900D72">
        <w:fldChar w:fldCharType="separate"/>
      </w:r>
      <w:r>
        <w:rPr>
          <w:noProof/>
        </w:rPr>
        <w:t xml:space="preserve">Peter Bukowski 2007, </w:t>
      </w:r>
      <w:r w:rsidRPr="00900D72">
        <w:fldChar w:fldCharType="end"/>
      </w:r>
      <w:r>
        <w:t xml:space="preserve">195-199; </w:t>
      </w:r>
      <w:r>
        <w:fldChar w:fldCharType="begin"/>
      </w:r>
      <w:r>
        <w:instrText xml:space="preserve"> ADDIN EN.CITE &lt;EndNote&gt;&lt;Cite&gt;&lt;Author&gt;Nicol&lt;/Author&gt;&lt;Year&gt;1998&lt;/Year&gt;&lt;RecNum&gt;1050&lt;/RecNum&gt;&lt;DisplayText&gt;Martin Nicol 1998, &lt;/DisplayText&gt;&lt;record&gt;&lt;rec-number&gt;1050&lt;/rec-number&gt;&lt;foreign-keys&gt;&lt;key app="EN" db-id="0t0dxv9vetdatmef0a959d9wdwf995aa9dxw"&gt;1050&lt;/key&gt;&lt;/foreign-keys&gt;&lt;ref-type name="Journal Article"&gt;17&lt;/ref-type&gt;&lt;contributors&gt;&lt;authors&gt;&lt;author&gt;Martin Nicol&lt;/author&gt;&lt;/authors&gt;&lt;/contributors&gt;&lt;titles&gt;&lt;title&gt;Leben deuten mit der Bibel. Zum Schriftgebrauch in der nordamerikanischen Seelsorge&lt;/title&gt;&lt;secondary-title&gt;WzM&lt;/secondary-title&gt;&lt;/titles&gt;&lt;periodical&gt;&lt;full-title&gt;WzM&lt;/full-title&gt;&lt;/periodical&gt;&lt;pages&gt;2-17&lt;/pages&gt;&lt;volume&gt;50&lt;/volume&gt;&lt;keywords&gt;&lt;keyword&gt;Seelsorge, Bibel, Schriftgebrauch, USA, amerikanische Praktische Theologie&lt;/keyword&gt;&lt;/keywords&gt;&lt;dates&gt;&lt;year&gt;1998&lt;/year&gt;&lt;/dates&gt;&lt;urls&gt;&lt;/urls&gt;&lt;/record&gt;&lt;/Cite&gt;&lt;/EndNote&gt;</w:instrText>
      </w:r>
      <w:r>
        <w:fldChar w:fldCharType="separate"/>
      </w:r>
      <w:r>
        <w:rPr>
          <w:noProof/>
        </w:rPr>
        <w:t xml:space="preserve">Martin Nicol 1998, </w:t>
      </w:r>
      <w:r>
        <w:fldChar w:fldCharType="end"/>
      </w:r>
      <w:r>
        <w:t xml:space="preserve">2-17; </w:t>
      </w:r>
      <w:r w:rsidRPr="00900D72">
        <w:fldChar w:fldCharType="begin"/>
      </w:r>
      <w:r>
        <w:instrText xml:space="preserve"> ADDIN EN.CITE &lt;EndNote&gt;&lt;Cite&gt;&lt;Author&gt;Morgenthaler&lt;/Author&gt;&lt;Year&gt;2009&lt;/Year&gt;&lt;RecNum&gt;915&lt;/RecNum&gt;&lt;DisplayText&gt;Christoph Morgenthaler 2009&lt;/DisplayText&gt;&lt;record&gt;&lt;rec-number&gt;915&lt;/rec-number&gt;&lt;foreign-keys&gt;&lt;key app="EN" db-id="0t0dxv9vetdatmef0a959d9wdwf995aa9dxw"&gt;915&lt;/key&gt;&lt;/foreign-keys&gt;&lt;ref-type name="Book"&gt;6&lt;/ref-type&gt;&lt;contributors&gt;&lt;authors&gt;&lt;author&gt;Christoph Morgenthaler&lt;/author&gt;&lt;/authors&gt;&lt;/contributors&gt;&lt;titles&gt;&lt;title&gt;Seelsorge&lt;/title&gt;&lt;secondary-title&gt;Lehrbuch Praktische Theologie &lt;/secondary-title&gt;&lt;/titles&gt;&lt;number&gt;Bd. 3 &lt;/number&gt;&lt;dates&gt;&lt;year&gt;2009&lt;/year&gt;&lt;/dates&gt;&lt;pub-location&gt;Gütersloh&lt;/pub-location&gt;&lt;urls&gt;&lt;/urls&gt;&lt;/record&gt;&lt;/Cite&gt;&lt;/EndNote&gt;</w:instrText>
      </w:r>
      <w:r w:rsidRPr="00900D72">
        <w:fldChar w:fldCharType="separate"/>
      </w:r>
      <w:r>
        <w:rPr>
          <w:noProof/>
        </w:rPr>
        <w:t>Christoph Morgenthaler 2009</w:t>
      </w:r>
      <w:r w:rsidRPr="00900D72">
        <w:fldChar w:fldCharType="end"/>
      </w:r>
      <w:r>
        <w:t xml:space="preserve">, 263f; </w:t>
      </w:r>
    </w:p>
  </w:footnote>
  <w:footnote w:id="16">
    <w:p w14:paraId="30D6BF2E" w14:textId="77777777" w:rsidR="00FA025B" w:rsidRPr="00900D72" w:rsidRDefault="00FA025B" w:rsidP="001A5C8E">
      <w:pPr>
        <w:pStyle w:val="Funotentext"/>
      </w:pPr>
      <w:r w:rsidRPr="004E0D59">
        <w:rPr>
          <w:rStyle w:val="Funotenzeichen"/>
        </w:rPr>
        <w:footnoteRef/>
      </w:r>
      <w:r w:rsidRPr="004E0D59">
        <w:rPr>
          <w:rStyle w:val="Funotenzeichen"/>
        </w:rPr>
        <w:t xml:space="preserve"> </w:t>
      </w:r>
      <w:r w:rsidRPr="00900D72">
        <w:fldChar w:fldCharType="begin"/>
      </w:r>
      <w:r w:rsidRPr="00900D72">
        <w:instrText xml:space="preserve"> </w:instrText>
      </w:r>
      <w:r>
        <w:instrText>ADDIN</w:instrText>
      </w:r>
      <w:r w:rsidRPr="00900D72">
        <w:instrText xml:space="preserve"> EN.CITE &lt;EndNote&gt;&lt;Cite&gt;&lt;Author&gt;Tacke&lt;/Author&gt;&lt;Year&gt;1989&lt;/Year&gt;&lt;RecNum&gt;1042&lt;/RecNum&gt;&lt;DisplayText&gt;Helmut Tacke 1989&lt;/DisplayText&gt;&lt;record&gt;&lt;rec-number&gt;1042&lt;/rec-number&gt;&lt;foreign-keys&gt;&lt;key app="EN" db-id="0t0dxv9vetdatmef0a959d9wdwf995aa9dxw"&gt;1042&lt;/key&gt;&lt;/foreign-keys&gt;&lt;ref-type name="Book"&gt;6&lt;/ref-type&gt;&lt;contributors&gt;&lt;authors&gt;&lt;author&gt;Helmut Tacke&lt;/author&gt;&lt;/authors&gt;&lt;/contributors&gt;&lt;titles&gt;&lt;title&gt;Mit dem Müden zur rechten Zeit zu reden&lt;/title&gt;&lt;/titles&gt;&lt;dates&gt;&lt;year&gt;1989&lt;/year&gt;&lt;/dates&gt;&lt;pub-location&gt;Neukirchen-Vluyn&lt;/pub-location&gt;&lt;urls&gt;&lt;/urls&gt;&lt;/record&gt;&lt;/Cite&gt;&lt;/EndNote&gt;</w:instrText>
      </w:r>
      <w:r w:rsidRPr="00900D72">
        <w:fldChar w:fldCharType="separate"/>
      </w:r>
      <w:r w:rsidRPr="00900D72">
        <w:rPr>
          <w:noProof/>
        </w:rPr>
        <w:t>Helmut Tacke 1989</w:t>
      </w:r>
      <w:r w:rsidRPr="00900D72">
        <w:fldChar w:fldCharType="end"/>
      </w:r>
      <w:r w:rsidRPr="00900D72">
        <w:t>, 63.</w:t>
      </w:r>
    </w:p>
  </w:footnote>
  <w:footnote w:id="17">
    <w:p w14:paraId="39710D2C" w14:textId="77777777" w:rsidR="00FA025B" w:rsidRDefault="00FA025B" w:rsidP="001A5C8E">
      <w:pPr>
        <w:pStyle w:val="Funotentext"/>
      </w:pPr>
      <w:r w:rsidRPr="004E0D59">
        <w:rPr>
          <w:rStyle w:val="Funotenzeichen"/>
        </w:rPr>
        <w:footnoteRef/>
      </w:r>
      <w:r>
        <w:t xml:space="preserve"> Michael Meyer-</w:t>
      </w:r>
      <w:proofErr w:type="spellStart"/>
      <w:r>
        <w:t>Blanck</w:t>
      </w:r>
      <w:proofErr w:type="spellEnd"/>
      <w:r>
        <w:t xml:space="preserve">, zitiert (ohne Nachweis) bei </w:t>
      </w:r>
      <w:r>
        <w:fldChar w:fldCharType="begin"/>
      </w:r>
      <w:r>
        <w:instrText xml:space="preserve"> ADDIN EN.CITE &lt;EndNote&gt;&lt;Cite&gt;&lt;Author&gt;Bukowski&lt;/Author&gt;&lt;Year&gt;2007&lt;/Year&gt;&lt;RecNum&gt;1049&lt;/RecNum&gt;&lt;DisplayText&gt;Peter Bukowski 2007, &lt;/DisplayText&gt;&lt;record&gt;&lt;rec-number&gt;1049&lt;/rec-number&gt;&lt;foreign-keys&gt;&lt;key app="EN" db-id="0t0dxv9vetdatmef0a959d9wdwf995aa9dxw"&gt;1049&lt;/key&gt;&lt;/foreign-keys&gt;&lt;ref-type name="Book Section"&gt;5&lt;/ref-type&gt;&lt;contributors&gt;&lt;authors&gt;&lt;author&gt;Peter Bukowski&lt;/author&gt;&lt;/authors&gt;&lt;secondary-authors&gt;&lt;author&gt;Wilfried Engemann&lt;/author&gt;&lt;/secondary-authors&gt;&lt;/contributors&gt;&lt;titles&gt;&lt;title&gt;Die christliche Tradition im Blickpunkt der Seelsorge&lt;/title&gt;&lt;secondary-title&gt;Handbuch der Seelsorge. Grundlagen und Profile&lt;/secondary-title&gt;&lt;/titles&gt;&lt;pages&gt;187-201&lt;/pages&gt;&lt;dates&gt;&lt;year&gt;2007&lt;/year&gt;&lt;/dates&gt;&lt;pub-location&gt;Leipzig&lt;/pub-location&gt;&lt;urls&gt;&lt;/urls&gt;&lt;/record&gt;&lt;/Cite&gt;&lt;/EndNote&gt;</w:instrText>
      </w:r>
      <w:r>
        <w:fldChar w:fldCharType="separate"/>
      </w:r>
      <w:r>
        <w:rPr>
          <w:noProof/>
        </w:rPr>
        <w:t xml:space="preserve">Peter Bukowski 2007, </w:t>
      </w:r>
      <w:r>
        <w:fldChar w:fldCharType="end"/>
      </w:r>
      <w:r>
        <w:t>191.</w:t>
      </w:r>
    </w:p>
  </w:footnote>
  <w:footnote w:id="18">
    <w:p w14:paraId="58F2F4A1" w14:textId="77777777" w:rsidR="00FA025B" w:rsidRPr="00900D72" w:rsidRDefault="00FA025B" w:rsidP="0096549F">
      <w:pPr>
        <w:pStyle w:val="Funotentext"/>
      </w:pPr>
      <w:r w:rsidRPr="004E0D59">
        <w:rPr>
          <w:rStyle w:val="Funotenzeichen"/>
        </w:rPr>
        <w:footnoteRef/>
      </w:r>
      <w:r w:rsidRPr="00900D72">
        <w:t xml:space="preserve"> </w:t>
      </w:r>
      <w:r w:rsidRPr="00900D72">
        <w:fldChar w:fldCharType="begin"/>
      </w:r>
      <w:r>
        <w:instrText xml:space="preserve"> ADDIN EN.CITE &lt;EndNote&gt;&lt;Cite&gt;&lt;Author&gt;Grözinger&lt;/Author&gt;&lt;Year&gt;1996&lt;/Year&gt;&lt;RecNum&gt;1219&lt;/RecNum&gt;&lt;DisplayText&gt;Albrecht Grözinger 1996, &lt;/DisplayText&gt;&lt;record&gt;&lt;rec-number&gt;1219&lt;/rec-number&gt;&lt;foreign-keys&gt;&lt;key app="EN" db-id="0t0dxv9vetdatmef0a959d9wdwf995aa9dxw"&gt;1219&lt;/key&gt;&lt;/foreign-keys&gt;&lt;ref-type name="Book Section"&gt;5&lt;/ref-type&gt;&lt;contributors&gt;&lt;authors&gt;&lt;author&gt;Albrecht Grözinger&lt;/author&gt;&lt;/authors&gt;&lt;secondary-authors&gt;&lt;author&gt;Christian Möller&lt;/author&gt;&lt;/secondary-authors&gt;&lt;/contributors&gt;&lt;titles&gt;&lt;title&gt;Eduard Thurneysen&lt;/title&gt;&lt;secondary-title&gt;Geschichte der Seelsorge in Einzelporträts&lt;/secondary-title&gt;&lt;/titles&gt;&lt;pages&gt;277-294&lt;/pages&gt;&lt;volume&gt;Bd. 3 &lt;/volume&gt;&lt;dates&gt;&lt;year&gt;1996&lt;/year&gt;&lt;/dates&gt;&lt;pub-location&gt;Neukirchen-Vluyn&lt;/pub-location&gt;&lt;urls&gt;&lt;/urls&gt;&lt;/record&gt;&lt;/Cite&gt;&lt;/EndNote&gt;</w:instrText>
      </w:r>
      <w:r w:rsidRPr="00900D72">
        <w:fldChar w:fldCharType="separate"/>
      </w:r>
      <w:r>
        <w:rPr>
          <w:noProof/>
        </w:rPr>
        <w:t xml:space="preserve">Albrecht Grözinger 1996, </w:t>
      </w:r>
      <w:r w:rsidRPr="00900D72">
        <w:fldChar w:fldCharType="end"/>
      </w:r>
      <w:r w:rsidRPr="00900D72">
        <w:t>280.</w:t>
      </w:r>
    </w:p>
  </w:footnote>
  <w:footnote w:id="19">
    <w:p w14:paraId="7B9FA5D1" w14:textId="77777777" w:rsidR="00FA025B" w:rsidRPr="00900D72" w:rsidRDefault="00FA025B" w:rsidP="0096549F">
      <w:pPr>
        <w:pStyle w:val="Funotentext"/>
      </w:pPr>
      <w:r w:rsidRPr="004E0D59">
        <w:rPr>
          <w:rStyle w:val="Funotenzeichen"/>
        </w:rPr>
        <w:footnoteRef/>
      </w:r>
      <w:r w:rsidRPr="004E0D59">
        <w:rPr>
          <w:rStyle w:val="Funotenzeichen"/>
        </w:rPr>
        <w:t xml:space="preserve"> </w:t>
      </w:r>
      <w:r w:rsidRPr="00900D72">
        <w:fldChar w:fldCharType="begin"/>
      </w:r>
      <w:r>
        <w:instrText xml:space="preserve"> ADDIN EN.CITE &lt;EndNote&gt;&lt;Cite&gt;&lt;Author&gt;Thurneysen&lt;/Author&gt;&lt;Year&gt;1948&lt;/Year&gt;&lt;RecNum&gt;778&lt;/RecNum&gt;&lt;DisplayText&gt;Eduard Thurneysen 1948&lt;/DisplayText&gt;&lt;record&gt;&lt;rec-number&gt;778&lt;/rec-number&gt;&lt;foreign-keys&gt;&lt;key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Eduard Thurneysen 1948</w:t>
      </w:r>
      <w:r w:rsidRPr="00900D72">
        <w:fldChar w:fldCharType="end"/>
      </w:r>
      <w:r w:rsidRPr="00900D72">
        <w:t>, 79.</w:t>
      </w:r>
    </w:p>
  </w:footnote>
  <w:footnote w:id="20">
    <w:p w14:paraId="420E7CA2" w14:textId="77777777" w:rsidR="00FA025B" w:rsidRPr="00900D72" w:rsidRDefault="00FA025B" w:rsidP="0096549F">
      <w:pPr>
        <w:pStyle w:val="Funotentext"/>
      </w:pPr>
      <w:r w:rsidRPr="004E0D59">
        <w:rPr>
          <w:rStyle w:val="Funotenzeichen"/>
        </w:rPr>
        <w:footnoteRef/>
      </w:r>
      <w:r w:rsidRPr="00900D72">
        <w:t xml:space="preserve"> Im Blick auf die Homiletik hat zuerst </w:t>
      </w:r>
      <w:r w:rsidRPr="00900D72">
        <w:fldChar w:fldCharType="begin"/>
      </w:r>
      <w:r w:rsidRPr="00900D72">
        <w:instrText xml:space="preserve"> </w:instrText>
      </w:r>
      <w:r>
        <w:instrText>ADDIN</w:instrText>
      </w:r>
      <w:r w:rsidRPr="00900D72">
        <w:instrText xml:space="preserve"> EN.CITE &lt;EndNote&gt;&lt;Cite&gt;&lt;Author&gt;Hohage&lt;/Author&gt;&lt;Year&gt;2005&lt;/Year&gt;&lt;RecNum&gt;2108&lt;/RecNum&gt;&lt;DisplayText&gt;Gerrit Hohage 2005&lt;/DisplayText&gt;&lt;record&gt;&lt;rec-number&gt;2108&lt;/rec-number&gt;&lt;foreign-keys&gt;&lt;key app="EN" db-id="0t0dxv9vetdatmef0a959d9wdwf995aa9dxw"&gt;2108&lt;/key&gt;&lt;/foreign-keys&gt;&lt;ref-type name="Book"&gt;6&lt;/ref-type&gt;&lt;contributors&gt;&lt;authors&gt;&lt;author&gt;Gerrit Hohage&lt;/author&gt;&lt;/authors&gt;&lt;/contributors&gt;&lt;titles&gt;&lt;title&gt;Predigen im Spannungsfeld von Amt und Person&lt;/title&gt;&lt;/titles&gt;&lt;dates&gt;&lt;year&gt;2005&lt;/year&gt;&lt;/dates&gt;&lt;pub-location&gt;Neukirchen-Vluyn&lt;/pub-location&gt;&lt;urls&gt;&lt;/urls&gt;&lt;/record&gt;&lt;/Cite&gt;&lt;/EndNote&gt;</w:instrText>
      </w:r>
      <w:r w:rsidRPr="00900D72">
        <w:fldChar w:fldCharType="separate"/>
      </w:r>
      <w:r w:rsidRPr="00900D72">
        <w:rPr>
          <w:noProof/>
        </w:rPr>
        <w:t>Gerrit Hohage 2005</w:t>
      </w:r>
      <w:r w:rsidRPr="00900D72">
        <w:fldChar w:fldCharType="end"/>
      </w:r>
      <w:r>
        <w:t xml:space="preserve">, 270-272 mit </w:t>
      </w:r>
      <w:r w:rsidRPr="00900D72">
        <w:t>dreidimensionalen Grafik</w:t>
      </w:r>
      <w:r>
        <w:t>en</w:t>
      </w:r>
      <w:r w:rsidRPr="00900D72">
        <w:t xml:space="preserve"> das Verhältnis von göttlichem und menschlichem Handeln darzustellen versucht; ihm folgte mit einem weiteren</w:t>
      </w:r>
      <w:r w:rsidRPr="00900D72">
        <w:t>t</w:t>
      </w:r>
      <w:r w:rsidRPr="00900D72">
        <w:t xml:space="preserve">wickelten Modell dann in Greifswald </w:t>
      </w:r>
      <w:r w:rsidRPr="00900D72">
        <w:fldChar w:fldCharType="begin"/>
      </w:r>
      <w:r w:rsidRPr="00900D72">
        <w:instrText xml:space="preserve"> </w:instrText>
      </w:r>
      <w:r>
        <w:instrText>ADDIN</w:instrText>
      </w:r>
      <w:r w:rsidRPr="00900D72">
        <w:instrText xml:space="preserve"> EN.CITE &lt;EndNote&gt;&lt;Cite&gt;&lt;Author&gt;Giebel&lt;/Author&gt;&lt;Year&gt;2009&lt;/Year&gt;&lt;RecNum&gt;2109&lt;/RecNum&gt;&lt;DisplayText&gt;Michael Giebel 2009&lt;/DisplayText&gt;&lt;record&gt;&lt;rec-number&gt;2109&lt;/rec-number&gt;&lt;foreign-keys&gt;&lt;key app="EN" db-id="0t0dxv9vetdatmef0a959d9wdwf995aa9dxw"&gt;2109&lt;/key&gt;&lt;/foreign-keys&gt;&lt;ref-type name="Book"&gt;6&lt;/ref-type&gt;&lt;contributors&gt;&lt;authors&gt;&lt;author&gt;Michael Giebel&lt;/author&gt;&lt;/authors&gt;&lt;/contributors&gt;&lt;titles&gt;&lt;title&gt;Predigt zwischen Kerygma und Kunst: Fundamentaltheologische Überlegungen zu den Herausforderungen für Homiletik in der Postmoderne&lt;/title&gt;&lt;secondary-title&gt;BEG&lt;/secondary-title&gt;&lt;/titles&gt;&lt;number&gt;10&lt;/number&gt;&lt;dates&gt;&lt;year&gt;2009&lt;/year&gt;&lt;/dates&gt;&lt;pub-location&gt;Neukirchen-Vluyn&lt;/pub-location&gt;&lt;urls&gt;&lt;/urls&gt;&lt;/record&gt;&lt;/Cite&gt;&lt;/EndNote&gt;</w:instrText>
      </w:r>
      <w:r w:rsidRPr="00900D72">
        <w:fldChar w:fldCharType="separate"/>
      </w:r>
      <w:r w:rsidRPr="00900D72">
        <w:rPr>
          <w:noProof/>
        </w:rPr>
        <w:t>Michael Giebel 2009</w:t>
      </w:r>
      <w:r w:rsidRPr="00900D72">
        <w:fldChar w:fldCharType="end"/>
      </w:r>
      <w:r>
        <w:t>, 313-319</w:t>
      </w:r>
      <w:r w:rsidRPr="00900D72">
        <w:t>. Beiden verdanke ich in dieser Hinsicht wesentliche Impulse. Ich habe diese Idee übersetzt und dann au</w:t>
      </w:r>
      <w:r>
        <w:t>ch für die Seelsorge entfaltet.</w:t>
      </w:r>
    </w:p>
  </w:footnote>
  <w:footnote w:id="21">
    <w:p w14:paraId="40D0286C" w14:textId="77777777" w:rsidR="00FA025B" w:rsidRPr="00900D72" w:rsidRDefault="00FA025B" w:rsidP="0096549F">
      <w:pPr>
        <w:pStyle w:val="Funotentext"/>
      </w:pPr>
      <w:r w:rsidRPr="004E0D59">
        <w:rPr>
          <w:rStyle w:val="Funotenzeichen"/>
        </w:rPr>
        <w:footnoteRef/>
      </w:r>
      <w:r w:rsidRPr="00900D72">
        <w:t xml:space="preserve"> Zitiert bei </w:t>
      </w:r>
      <w:r w:rsidRPr="00900D72">
        <w:fldChar w:fldCharType="begin"/>
      </w:r>
      <w:r w:rsidRPr="00900D72">
        <w:instrText xml:space="preserve"> </w:instrText>
      </w:r>
      <w:r>
        <w:instrText>ADDIN</w:instrText>
      </w:r>
      <w:r w:rsidRPr="00900D72">
        <w:instrText xml:space="preserve"> EN.CITE &lt;EndNote&gt;&lt;Cite&gt;&lt;Author&gt;Ising&lt;/Author&gt;&lt;Year&gt;1996&lt;/Year&gt;&lt;RecNum&gt;2061&lt;/RecNum&gt;&lt;DisplayText&gt;Dieter Ising 1996, &lt;/DisplayText&gt;&lt;record&gt;&lt;rec-number&gt;2061&lt;/rec-number&gt;&lt;foreign-keys&gt;&lt;key app="EN" db-id="0t0dxv9vetdatmef0a959d9wdwf995aa9dxw"&gt;2061&lt;/key&gt;&lt;/foreign-keys&gt;&lt;ref-type name="Book Section"&gt;5&lt;/ref-type&gt;&lt;contributors&gt;&lt;authors&gt;&lt;author&gt;Dieter Ising&lt;/author&gt;&lt;/authors&gt;&lt;secondary-authors&gt;&lt;author&gt;Christian Möller&lt;/author&gt;&lt;/secondary-authors&gt;&lt;/contributors&gt;&lt;titles&gt;&lt;title&gt;Johann Christoph Blumhardt&lt;/title&gt;&lt;secondary-title&gt;Geschichte der Seelsorge in Einzelporträts&lt;/secondary-title&gt;&lt;/titles&gt;&lt;pages&gt;118-136&lt;/pages&gt;&lt;volume&gt;Bd. 3&lt;/volume&gt;&lt;dates&gt;&lt;year&gt;1996&lt;/year&gt;&lt;/dates&gt;&lt;pub-location&gt;Göttingen&lt;/pub-location&gt;&lt;urls&gt;&lt;/urls&gt;&lt;/record&gt;&lt;/Cite&gt;&lt;/EndNote&gt;</w:instrText>
      </w:r>
      <w:r w:rsidRPr="00900D72">
        <w:fldChar w:fldCharType="separate"/>
      </w:r>
      <w:r w:rsidRPr="00900D72">
        <w:rPr>
          <w:noProof/>
        </w:rPr>
        <w:t xml:space="preserve">Dieter Ising 1996, </w:t>
      </w:r>
      <w:r w:rsidRPr="00900D72">
        <w:fldChar w:fldCharType="end"/>
      </w:r>
      <w:r w:rsidRPr="00900D72">
        <w:t>133.</w:t>
      </w:r>
    </w:p>
  </w:footnote>
  <w:footnote w:id="22">
    <w:p w14:paraId="230D8780" w14:textId="77777777" w:rsidR="00FA025B" w:rsidRPr="00900D72" w:rsidRDefault="00FA025B" w:rsidP="0096549F">
      <w:pPr>
        <w:pStyle w:val="Funotentext"/>
      </w:pPr>
      <w:r w:rsidRPr="004E0D59">
        <w:rPr>
          <w:rStyle w:val="Funotenzeichen"/>
        </w:rPr>
        <w:footnoteRef/>
      </w:r>
      <w:r w:rsidRPr="00900D72">
        <w:t xml:space="preserve"> </w:t>
      </w:r>
      <w:r w:rsidRPr="00900D72">
        <w:fldChar w:fldCharType="begin"/>
      </w:r>
      <w:r>
        <w:instrText xml:space="preserve"> ADDIN EN.CITE &lt;EndNote&gt;&lt;Cite&gt;&lt;Author&gt;Thurneysen&lt;/Author&gt;&lt;Year&gt;1948&lt;/Year&gt;&lt;RecNum&gt;778&lt;/RecNum&gt;&lt;DisplayText&gt;Ibid.&lt;/DisplayText&gt;&lt;record&gt;&lt;rec-number&gt;778&lt;/rec-number&gt;&lt;foreign-keys&gt;&lt;key app="EN" db-id="0t0dxv9vetdatmef0a959d9wdwf995aa9dxw"&gt;778&lt;/key&gt;&lt;/foreign-keys&gt;&lt;ref-type name="Book"&gt;6&lt;/ref-type&gt;&lt;contributors&gt;&lt;authors&gt;&lt;author&gt;Eduard Thurneysen&lt;/author&gt;&lt;/authors&gt;&lt;/contributors&gt;&lt;titles&gt;&lt;title&gt;Die Lehre von der Seelsorge&lt;/title&gt;&lt;/titles&gt;&lt;dates&gt;&lt;year&gt;1948&lt;/year&gt;&lt;/dates&gt;&lt;pub-location&gt;München&lt;/pub-location&gt;&lt;urls&gt;&lt;/urls&gt;&lt;/record&gt;&lt;/Cite&gt;&lt;/EndNote&gt;</w:instrText>
      </w:r>
      <w:r w:rsidRPr="00900D72">
        <w:fldChar w:fldCharType="separate"/>
      </w:r>
      <w:r>
        <w:rPr>
          <w:noProof/>
        </w:rPr>
        <w:t>Ibid.</w:t>
      </w:r>
      <w:r w:rsidRPr="00900D72">
        <w:fldChar w:fldCharType="end"/>
      </w:r>
      <w:r w:rsidRPr="00900D72">
        <w:t>, 166.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FA025B" w:rsidRDefault="00FA025B">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FA025B" w:rsidRDefault="00FA02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FA025B" w:rsidRDefault="00FA025B"/>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FA025B" w:rsidRPr="00892CF7" w:rsidRDefault="00FA025B">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5"/>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extkrpereinzug2"/>
      <w:lvlText w:val=""/>
      <w:lvlJc w:val="left"/>
      <w:pPr>
        <w:tabs>
          <w:tab w:val="num" w:pos="1211"/>
        </w:tabs>
        <w:ind w:left="1211" w:hanging="360"/>
      </w:pPr>
      <w:rPr>
        <w:rFonts w:ascii="Wingdings 3" w:hAnsi="Wingdings 3" w:hint="default"/>
        <w:color w:val="FF0000"/>
      </w:rPr>
    </w:lvl>
  </w:abstractNum>
  <w:abstractNum w:abstractNumId="2">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657DDE"/>
    <w:multiLevelType w:val="hybridMultilevel"/>
    <w:tmpl w:val="FF26E202"/>
    <w:lvl w:ilvl="0" w:tplc="F2DC7C36">
      <w:start w:val="1"/>
      <w:numFmt w:val="bullet"/>
      <w:lvlText w:val="•"/>
      <w:lvlJc w:val="left"/>
      <w:pPr>
        <w:tabs>
          <w:tab w:val="num" w:pos="720"/>
        </w:tabs>
        <w:ind w:left="720" w:hanging="360"/>
      </w:pPr>
      <w:rPr>
        <w:rFonts w:ascii="Arial" w:hAnsi="Arial" w:hint="default"/>
      </w:rPr>
    </w:lvl>
    <w:lvl w:ilvl="1" w:tplc="A2820324" w:tentative="1">
      <w:start w:val="1"/>
      <w:numFmt w:val="bullet"/>
      <w:lvlText w:val="•"/>
      <w:lvlJc w:val="left"/>
      <w:pPr>
        <w:tabs>
          <w:tab w:val="num" w:pos="1440"/>
        </w:tabs>
        <w:ind w:left="1440" w:hanging="360"/>
      </w:pPr>
      <w:rPr>
        <w:rFonts w:ascii="Arial" w:hAnsi="Arial" w:hint="default"/>
      </w:rPr>
    </w:lvl>
    <w:lvl w:ilvl="2" w:tplc="B77CB98C" w:tentative="1">
      <w:start w:val="1"/>
      <w:numFmt w:val="bullet"/>
      <w:lvlText w:val="•"/>
      <w:lvlJc w:val="left"/>
      <w:pPr>
        <w:tabs>
          <w:tab w:val="num" w:pos="2160"/>
        </w:tabs>
        <w:ind w:left="2160" w:hanging="360"/>
      </w:pPr>
      <w:rPr>
        <w:rFonts w:ascii="Arial" w:hAnsi="Arial" w:hint="default"/>
      </w:rPr>
    </w:lvl>
    <w:lvl w:ilvl="3" w:tplc="B7BE64E4" w:tentative="1">
      <w:start w:val="1"/>
      <w:numFmt w:val="bullet"/>
      <w:lvlText w:val="•"/>
      <w:lvlJc w:val="left"/>
      <w:pPr>
        <w:tabs>
          <w:tab w:val="num" w:pos="2880"/>
        </w:tabs>
        <w:ind w:left="2880" w:hanging="360"/>
      </w:pPr>
      <w:rPr>
        <w:rFonts w:ascii="Arial" w:hAnsi="Arial" w:hint="default"/>
      </w:rPr>
    </w:lvl>
    <w:lvl w:ilvl="4" w:tplc="10C0E780" w:tentative="1">
      <w:start w:val="1"/>
      <w:numFmt w:val="bullet"/>
      <w:lvlText w:val="•"/>
      <w:lvlJc w:val="left"/>
      <w:pPr>
        <w:tabs>
          <w:tab w:val="num" w:pos="3600"/>
        </w:tabs>
        <w:ind w:left="3600" w:hanging="360"/>
      </w:pPr>
      <w:rPr>
        <w:rFonts w:ascii="Arial" w:hAnsi="Arial" w:hint="default"/>
      </w:rPr>
    </w:lvl>
    <w:lvl w:ilvl="5" w:tplc="D54C8566" w:tentative="1">
      <w:start w:val="1"/>
      <w:numFmt w:val="bullet"/>
      <w:lvlText w:val="•"/>
      <w:lvlJc w:val="left"/>
      <w:pPr>
        <w:tabs>
          <w:tab w:val="num" w:pos="4320"/>
        </w:tabs>
        <w:ind w:left="4320" w:hanging="360"/>
      </w:pPr>
      <w:rPr>
        <w:rFonts w:ascii="Arial" w:hAnsi="Arial" w:hint="default"/>
      </w:rPr>
    </w:lvl>
    <w:lvl w:ilvl="6" w:tplc="02D87CE2" w:tentative="1">
      <w:start w:val="1"/>
      <w:numFmt w:val="bullet"/>
      <w:lvlText w:val="•"/>
      <w:lvlJc w:val="left"/>
      <w:pPr>
        <w:tabs>
          <w:tab w:val="num" w:pos="5040"/>
        </w:tabs>
        <w:ind w:left="5040" w:hanging="360"/>
      </w:pPr>
      <w:rPr>
        <w:rFonts w:ascii="Arial" w:hAnsi="Arial" w:hint="default"/>
      </w:rPr>
    </w:lvl>
    <w:lvl w:ilvl="7" w:tplc="68307F92" w:tentative="1">
      <w:start w:val="1"/>
      <w:numFmt w:val="bullet"/>
      <w:lvlText w:val="•"/>
      <w:lvlJc w:val="left"/>
      <w:pPr>
        <w:tabs>
          <w:tab w:val="num" w:pos="5760"/>
        </w:tabs>
        <w:ind w:left="5760" w:hanging="360"/>
      </w:pPr>
      <w:rPr>
        <w:rFonts w:ascii="Arial" w:hAnsi="Arial" w:hint="default"/>
      </w:rPr>
    </w:lvl>
    <w:lvl w:ilvl="8" w:tplc="800E3460" w:tentative="1">
      <w:start w:val="1"/>
      <w:numFmt w:val="bullet"/>
      <w:lvlText w:val="•"/>
      <w:lvlJc w:val="left"/>
      <w:pPr>
        <w:tabs>
          <w:tab w:val="num" w:pos="6480"/>
        </w:tabs>
        <w:ind w:left="6480" w:hanging="360"/>
      </w:pPr>
      <w:rPr>
        <w:rFonts w:ascii="Arial" w:hAnsi="Arial" w:hint="default"/>
      </w:rPr>
    </w:lvl>
  </w:abstractNum>
  <w:abstractNum w:abstractNumId="4">
    <w:nsid w:val="26D56722"/>
    <w:multiLevelType w:val="hybridMultilevel"/>
    <w:tmpl w:val="B3B6CF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0747FEF"/>
    <w:multiLevelType w:val="hybridMultilevel"/>
    <w:tmpl w:val="CB52A03E"/>
    <w:lvl w:ilvl="0" w:tplc="04070001">
      <w:start w:val="1"/>
      <w:numFmt w:val="bullet"/>
      <w:lvlText w:val=""/>
      <w:lvlJc w:val="left"/>
      <w:pPr>
        <w:ind w:left="644" w:hanging="360"/>
      </w:pPr>
      <w:rPr>
        <w:rFonts w:ascii="Symbol" w:hAnsi="Symbol" w:hint="default"/>
        <w:color w:val="00008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8">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090119B"/>
    <w:multiLevelType w:val="hybridMultilevel"/>
    <w:tmpl w:val="475E4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1">
    <w:nsid w:val="42BF5E7E"/>
    <w:multiLevelType w:val="hybridMultilevel"/>
    <w:tmpl w:val="9CD8BA36"/>
    <w:lvl w:ilvl="0" w:tplc="978ED27A">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2">
    <w:nsid w:val="47E03205"/>
    <w:multiLevelType w:val="hybridMultilevel"/>
    <w:tmpl w:val="DC368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5172505"/>
    <w:multiLevelType w:val="hybridMultilevel"/>
    <w:tmpl w:val="F372E1D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5BFA5AB0"/>
    <w:multiLevelType w:val="hybridMultilevel"/>
    <w:tmpl w:val="9D401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7">
    <w:nsid w:val="7A125BF9"/>
    <w:multiLevelType w:val="hybridMultilevel"/>
    <w:tmpl w:val="4DFE9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8"/>
  </w:num>
  <w:num w:numId="4">
    <w:abstractNumId w:val="5"/>
  </w:num>
  <w:num w:numId="5">
    <w:abstractNumId w:val="14"/>
  </w:num>
  <w:num w:numId="6">
    <w:abstractNumId w:val="2"/>
  </w:num>
  <w:num w:numId="7">
    <w:abstractNumId w:val="11"/>
  </w:num>
  <w:num w:numId="8">
    <w:abstractNumId w:val="1"/>
  </w:num>
  <w:num w:numId="9">
    <w:abstractNumId w:val="0"/>
  </w:num>
  <w:num w:numId="10">
    <w:abstractNumId w:val="10"/>
  </w:num>
  <w:num w:numId="11">
    <w:abstractNumId w:val="6"/>
  </w:num>
  <w:num w:numId="12">
    <w:abstractNumId w:val="13"/>
  </w:num>
  <w:num w:numId="13">
    <w:abstractNumId w:val="17"/>
  </w:num>
  <w:num w:numId="14">
    <w:abstractNumId w:val="9"/>
  </w:num>
  <w:num w:numId="15">
    <w:abstractNumId w:val="12"/>
  </w:num>
  <w:num w:numId="16">
    <w:abstractNumId w:val="3"/>
  </w:num>
  <w:num w:numId="17">
    <w:abstractNumId w:val="4"/>
  </w:num>
  <w:num w:numId="1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老Ԫ⚳⍰᐀Ȱે耂Ԫ♔ᄦᐐɀે考Ԫ☤ᄦᐐǰે耄Ԫ◹ᄦᐐȀે者Ԫ◌ᄦᐐȐે耈Ԫ▜ᄦᐐȠેࠀԿ⍰᐀ࠉԿ⍰᐀ࠇԿL⍰᐀倊ୣบ᐀ Ǡે_x000a_q˕VĘ ꧑ꜜ涚က妙嶚։Ŕ⍰еKࠀԿ ＀＀qq涚涚qӹ˕HĐ ꧑洕펣1妙쫃։㹉⍰ͽL¢ࠀԿ‖７＀q涚涚qq˕ЩĐ怀꧑꧑＜涚涚妚ꯡ)։։⍰㐗᧛⍽耀ԝ ＀＀qq涚涚˄⍰ !&quot;qҚ˕Đ怀꧑餣涚᥻.妚։㦠⍰ĥࠤԿ က%＀＀&amp;'()qұ˕5Đ怀꧑Ｊﻹ涚ϛ/妚མ։㫅⍰ʓቾᩋ+ Կ ,＀＀q-q涚涚˄⍰./0ꑔο1꒤οꑰο2ꒌο꒨ο3ꔄο꓄οӝ%妚훘꓈οꐴο涚%妚훘ꓤοꓼο涚늍&amp;妚혵ꔀοꔘο涚妚궰ꔜοꔴο洶㜕)妚ධꔸοꕐο涚䓅+妚㜒7ꕔοꕬο涚篗,妚훘ꕰοꖈο涚券-妚훘ꖌοꖤο涚⦇.妚훘ꔹοꗀο涚_/妚훘ꗄοꗜο涚휷/夺훘ꗸο涚涚妚쐇ꗼο꘻ο涚ㆡ妚궈ꘘο꘰ο涚妚꘴οꙌο涚혻妚霒ꙐοꙨο涚浍"/>
  </w:docVars>
  <w:rsids>
    <w:rsidRoot w:val="000A408C"/>
    <w:rsid w:val="00001311"/>
    <w:rsid w:val="00001E30"/>
    <w:rsid w:val="00005F0F"/>
    <w:rsid w:val="00011A6A"/>
    <w:rsid w:val="000174BB"/>
    <w:rsid w:val="00021000"/>
    <w:rsid w:val="0004607D"/>
    <w:rsid w:val="00046B2F"/>
    <w:rsid w:val="00056B11"/>
    <w:rsid w:val="00064F9B"/>
    <w:rsid w:val="0007528F"/>
    <w:rsid w:val="00076AFD"/>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2149E"/>
    <w:rsid w:val="00133644"/>
    <w:rsid w:val="00135007"/>
    <w:rsid w:val="0013541C"/>
    <w:rsid w:val="00136D73"/>
    <w:rsid w:val="00140FE3"/>
    <w:rsid w:val="00143DFA"/>
    <w:rsid w:val="0018135B"/>
    <w:rsid w:val="00182B18"/>
    <w:rsid w:val="001842C7"/>
    <w:rsid w:val="00184C11"/>
    <w:rsid w:val="00187683"/>
    <w:rsid w:val="001925A1"/>
    <w:rsid w:val="001973E9"/>
    <w:rsid w:val="001A1B7F"/>
    <w:rsid w:val="001A22FB"/>
    <w:rsid w:val="001A5C8E"/>
    <w:rsid w:val="001A6B13"/>
    <w:rsid w:val="001B4BF6"/>
    <w:rsid w:val="001B58E0"/>
    <w:rsid w:val="001C06CF"/>
    <w:rsid w:val="001C69FD"/>
    <w:rsid w:val="001D38AA"/>
    <w:rsid w:val="001E3C91"/>
    <w:rsid w:val="001E6BF7"/>
    <w:rsid w:val="001E6FD2"/>
    <w:rsid w:val="001E7F0F"/>
    <w:rsid w:val="001F7FD9"/>
    <w:rsid w:val="00204651"/>
    <w:rsid w:val="00212A86"/>
    <w:rsid w:val="002273F2"/>
    <w:rsid w:val="00246B16"/>
    <w:rsid w:val="002522E9"/>
    <w:rsid w:val="00256EAE"/>
    <w:rsid w:val="0027284F"/>
    <w:rsid w:val="00280941"/>
    <w:rsid w:val="00281C86"/>
    <w:rsid w:val="00291DDA"/>
    <w:rsid w:val="002B0331"/>
    <w:rsid w:val="002B773C"/>
    <w:rsid w:val="002D5001"/>
    <w:rsid w:val="002E1A47"/>
    <w:rsid w:val="003022DD"/>
    <w:rsid w:val="0030459A"/>
    <w:rsid w:val="00320749"/>
    <w:rsid w:val="00327981"/>
    <w:rsid w:val="00327BD7"/>
    <w:rsid w:val="003344E8"/>
    <w:rsid w:val="003423F8"/>
    <w:rsid w:val="0034392A"/>
    <w:rsid w:val="00364917"/>
    <w:rsid w:val="00370F14"/>
    <w:rsid w:val="00383832"/>
    <w:rsid w:val="003975FB"/>
    <w:rsid w:val="003B0E4E"/>
    <w:rsid w:val="003C329C"/>
    <w:rsid w:val="003D423D"/>
    <w:rsid w:val="003E2FED"/>
    <w:rsid w:val="003E38B9"/>
    <w:rsid w:val="003F4DF3"/>
    <w:rsid w:val="004078C5"/>
    <w:rsid w:val="004213F2"/>
    <w:rsid w:val="00435235"/>
    <w:rsid w:val="0045224B"/>
    <w:rsid w:val="00454375"/>
    <w:rsid w:val="004619F1"/>
    <w:rsid w:val="00491E6C"/>
    <w:rsid w:val="004A2B42"/>
    <w:rsid w:val="004B17F4"/>
    <w:rsid w:val="004C0020"/>
    <w:rsid w:val="004C135E"/>
    <w:rsid w:val="004D08BE"/>
    <w:rsid w:val="004D19CA"/>
    <w:rsid w:val="004E7896"/>
    <w:rsid w:val="004F1549"/>
    <w:rsid w:val="004F1E50"/>
    <w:rsid w:val="00500B5C"/>
    <w:rsid w:val="00506A09"/>
    <w:rsid w:val="00511811"/>
    <w:rsid w:val="00522311"/>
    <w:rsid w:val="00534574"/>
    <w:rsid w:val="00554CB5"/>
    <w:rsid w:val="00567CCC"/>
    <w:rsid w:val="00572D89"/>
    <w:rsid w:val="00574FDF"/>
    <w:rsid w:val="00582993"/>
    <w:rsid w:val="0058372D"/>
    <w:rsid w:val="005870D7"/>
    <w:rsid w:val="00591713"/>
    <w:rsid w:val="005A16CF"/>
    <w:rsid w:val="005B6187"/>
    <w:rsid w:val="005C0A19"/>
    <w:rsid w:val="005D3E1B"/>
    <w:rsid w:val="005D5158"/>
    <w:rsid w:val="005D5F62"/>
    <w:rsid w:val="005E68B4"/>
    <w:rsid w:val="005F1FE5"/>
    <w:rsid w:val="005F591A"/>
    <w:rsid w:val="0060382E"/>
    <w:rsid w:val="00604824"/>
    <w:rsid w:val="0061636B"/>
    <w:rsid w:val="00616E92"/>
    <w:rsid w:val="0062680E"/>
    <w:rsid w:val="006333F3"/>
    <w:rsid w:val="00643633"/>
    <w:rsid w:val="0064710B"/>
    <w:rsid w:val="00652CC1"/>
    <w:rsid w:val="00654C4C"/>
    <w:rsid w:val="006719B9"/>
    <w:rsid w:val="00695099"/>
    <w:rsid w:val="00695C6F"/>
    <w:rsid w:val="006A46AE"/>
    <w:rsid w:val="006B09CD"/>
    <w:rsid w:val="006D386C"/>
    <w:rsid w:val="006D5843"/>
    <w:rsid w:val="006D61FD"/>
    <w:rsid w:val="006D7579"/>
    <w:rsid w:val="006E41A4"/>
    <w:rsid w:val="006F3DCC"/>
    <w:rsid w:val="006F550A"/>
    <w:rsid w:val="007019E0"/>
    <w:rsid w:val="00705AB3"/>
    <w:rsid w:val="00710E26"/>
    <w:rsid w:val="007177F4"/>
    <w:rsid w:val="00721580"/>
    <w:rsid w:val="00725BFC"/>
    <w:rsid w:val="00734A9A"/>
    <w:rsid w:val="0075307A"/>
    <w:rsid w:val="00780BE5"/>
    <w:rsid w:val="00781091"/>
    <w:rsid w:val="007A048B"/>
    <w:rsid w:val="007B2961"/>
    <w:rsid w:val="007D163A"/>
    <w:rsid w:val="007D1BCB"/>
    <w:rsid w:val="007D352D"/>
    <w:rsid w:val="007E33E4"/>
    <w:rsid w:val="007E3D60"/>
    <w:rsid w:val="007E6236"/>
    <w:rsid w:val="007F3CDA"/>
    <w:rsid w:val="007F690C"/>
    <w:rsid w:val="007F7C15"/>
    <w:rsid w:val="00813814"/>
    <w:rsid w:val="0083053A"/>
    <w:rsid w:val="008305E9"/>
    <w:rsid w:val="0083071F"/>
    <w:rsid w:val="00844AB1"/>
    <w:rsid w:val="00856EE3"/>
    <w:rsid w:val="00867F6C"/>
    <w:rsid w:val="008701F3"/>
    <w:rsid w:val="00891081"/>
    <w:rsid w:val="008A6BD7"/>
    <w:rsid w:val="008B04E4"/>
    <w:rsid w:val="008B4A0B"/>
    <w:rsid w:val="008D7468"/>
    <w:rsid w:val="008D7ADC"/>
    <w:rsid w:val="008E20E3"/>
    <w:rsid w:val="008E735F"/>
    <w:rsid w:val="008F49D4"/>
    <w:rsid w:val="008F7AF1"/>
    <w:rsid w:val="009108DA"/>
    <w:rsid w:val="009138F7"/>
    <w:rsid w:val="0091430E"/>
    <w:rsid w:val="00934BEB"/>
    <w:rsid w:val="009370BE"/>
    <w:rsid w:val="00954D75"/>
    <w:rsid w:val="00960F3C"/>
    <w:rsid w:val="0096549F"/>
    <w:rsid w:val="00973A14"/>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D69EC"/>
    <w:rsid w:val="009D6A5C"/>
    <w:rsid w:val="009E098D"/>
    <w:rsid w:val="009E657E"/>
    <w:rsid w:val="009F346B"/>
    <w:rsid w:val="009F7E8A"/>
    <w:rsid w:val="00A10245"/>
    <w:rsid w:val="00A13D72"/>
    <w:rsid w:val="00A20AF7"/>
    <w:rsid w:val="00A31325"/>
    <w:rsid w:val="00A7411D"/>
    <w:rsid w:val="00A91DE9"/>
    <w:rsid w:val="00AA3676"/>
    <w:rsid w:val="00AA57F1"/>
    <w:rsid w:val="00AB45D2"/>
    <w:rsid w:val="00AB6A7C"/>
    <w:rsid w:val="00AB7E66"/>
    <w:rsid w:val="00AC47E9"/>
    <w:rsid w:val="00AC5260"/>
    <w:rsid w:val="00AD161A"/>
    <w:rsid w:val="00AD2771"/>
    <w:rsid w:val="00AD412D"/>
    <w:rsid w:val="00AD42E9"/>
    <w:rsid w:val="00AE6EA8"/>
    <w:rsid w:val="00AE7CCD"/>
    <w:rsid w:val="00AF12F9"/>
    <w:rsid w:val="00B028E1"/>
    <w:rsid w:val="00B04646"/>
    <w:rsid w:val="00B1171A"/>
    <w:rsid w:val="00B1350C"/>
    <w:rsid w:val="00B14435"/>
    <w:rsid w:val="00B34B3C"/>
    <w:rsid w:val="00B4438D"/>
    <w:rsid w:val="00B468D8"/>
    <w:rsid w:val="00B50B9B"/>
    <w:rsid w:val="00B56CB1"/>
    <w:rsid w:val="00B631DB"/>
    <w:rsid w:val="00B70834"/>
    <w:rsid w:val="00B741EC"/>
    <w:rsid w:val="00B743BE"/>
    <w:rsid w:val="00B7695A"/>
    <w:rsid w:val="00B85770"/>
    <w:rsid w:val="00B87CCF"/>
    <w:rsid w:val="00BA71D5"/>
    <w:rsid w:val="00BB4C32"/>
    <w:rsid w:val="00BC002F"/>
    <w:rsid w:val="00BC3AC0"/>
    <w:rsid w:val="00BD4D1A"/>
    <w:rsid w:val="00BD5B95"/>
    <w:rsid w:val="00BD69E4"/>
    <w:rsid w:val="00BF617C"/>
    <w:rsid w:val="00C02644"/>
    <w:rsid w:val="00C03592"/>
    <w:rsid w:val="00C0409B"/>
    <w:rsid w:val="00C06426"/>
    <w:rsid w:val="00C2550A"/>
    <w:rsid w:val="00C31256"/>
    <w:rsid w:val="00C31C1E"/>
    <w:rsid w:val="00C41BE5"/>
    <w:rsid w:val="00C44E23"/>
    <w:rsid w:val="00C45382"/>
    <w:rsid w:val="00C469C0"/>
    <w:rsid w:val="00C52903"/>
    <w:rsid w:val="00C86A4A"/>
    <w:rsid w:val="00C9529B"/>
    <w:rsid w:val="00CA00D6"/>
    <w:rsid w:val="00CA22EE"/>
    <w:rsid w:val="00CA4F77"/>
    <w:rsid w:val="00CB1C89"/>
    <w:rsid w:val="00CB2CC5"/>
    <w:rsid w:val="00CC06C5"/>
    <w:rsid w:val="00CC5CBF"/>
    <w:rsid w:val="00CD042B"/>
    <w:rsid w:val="00CD069D"/>
    <w:rsid w:val="00CD30A5"/>
    <w:rsid w:val="00CD7B59"/>
    <w:rsid w:val="00CE0286"/>
    <w:rsid w:val="00CF0B56"/>
    <w:rsid w:val="00CF25A3"/>
    <w:rsid w:val="00D11581"/>
    <w:rsid w:val="00D16BB6"/>
    <w:rsid w:val="00D23D90"/>
    <w:rsid w:val="00D45723"/>
    <w:rsid w:val="00D46F68"/>
    <w:rsid w:val="00D55F63"/>
    <w:rsid w:val="00D646B4"/>
    <w:rsid w:val="00D66170"/>
    <w:rsid w:val="00D7129F"/>
    <w:rsid w:val="00DA0AE7"/>
    <w:rsid w:val="00DA45F8"/>
    <w:rsid w:val="00DA6396"/>
    <w:rsid w:val="00DB4B45"/>
    <w:rsid w:val="00DC0402"/>
    <w:rsid w:val="00DD08EE"/>
    <w:rsid w:val="00DD10E8"/>
    <w:rsid w:val="00DE21A8"/>
    <w:rsid w:val="00DE5C73"/>
    <w:rsid w:val="00DE5DE5"/>
    <w:rsid w:val="00DF4051"/>
    <w:rsid w:val="00DF4D94"/>
    <w:rsid w:val="00DF5A6E"/>
    <w:rsid w:val="00E00C5E"/>
    <w:rsid w:val="00E01129"/>
    <w:rsid w:val="00E15A3E"/>
    <w:rsid w:val="00E16C01"/>
    <w:rsid w:val="00E21C60"/>
    <w:rsid w:val="00E55CC0"/>
    <w:rsid w:val="00E63F84"/>
    <w:rsid w:val="00E65581"/>
    <w:rsid w:val="00E66A61"/>
    <w:rsid w:val="00E7277D"/>
    <w:rsid w:val="00E73222"/>
    <w:rsid w:val="00E815E9"/>
    <w:rsid w:val="00E83E6D"/>
    <w:rsid w:val="00E87938"/>
    <w:rsid w:val="00E97EA4"/>
    <w:rsid w:val="00EA42DB"/>
    <w:rsid w:val="00EA61CF"/>
    <w:rsid w:val="00EA753F"/>
    <w:rsid w:val="00EA7DC0"/>
    <w:rsid w:val="00EB44EE"/>
    <w:rsid w:val="00EB55C3"/>
    <w:rsid w:val="00EB636E"/>
    <w:rsid w:val="00ED2A01"/>
    <w:rsid w:val="00ED5E87"/>
    <w:rsid w:val="00ED6ABE"/>
    <w:rsid w:val="00ED6E7D"/>
    <w:rsid w:val="00EE021E"/>
    <w:rsid w:val="00EE3027"/>
    <w:rsid w:val="00EE6F42"/>
    <w:rsid w:val="00EF7A58"/>
    <w:rsid w:val="00F05C7E"/>
    <w:rsid w:val="00F1025A"/>
    <w:rsid w:val="00F27FB4"/>
    <w:rsid w:val="00F36543"/>
    <w:rsid w:val="00F436A9"/>
    <w:rsid w:val="00F46292"/>
    <w:rsid w:val="00F47179"/>
    <w:rsid w:val="00F532E1"/>
    <w:rsid w:val="00F71AAF"/>
    <w:rsid w:val="00F7440B"/>
    <w:rsid w:val="00F76F21"/>
    <w:rsid w:val="00F8097C"/>
    <w:rsid w:val="00F87C17"/>
    <w:rsid w:val="00FA025B"/>
    <w:rsid w:val="00FA30E6"/>
    <w:rsid w:val="00FA4558"/>
    <w:rsid w:val="00FA5CC6"/>
    <w:rsid w:val="00FA7D33"/>
    <w:rsid w:val="00FB4E22"/>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1363</Words>
  <Characters>8587</Characters>
  <Application>Microsoft Macintosh Word</Application>
  <DocSecurity>0</DocSecurity>
  <Lines>71</Lines>
  <Paragraphs>19</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25</cp:revision>
  <cp:lastPrinted>2010-01-08T13:27:00Z</cp:lastPrinted>
  <dcterms:created xsi:type="dcterms:W3CDTF">2013-10-23T14:05:00Z</dcterms:created>
  <dcterms:modified xsi:type="dcterms:W3CDTF">2013-10-24T11:23:00Z</dcterms:modified>
</cp:coreProperties>
</file>