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333F7916" w:rsidR="000D11E1" w:rsidRPr="00CF0B56" w:rsidRDefault="009D38D4" w:rsidP="000D11E1">
      <w:pPr>
        <w:spacing w:after="120" w:line="240" w:lineRule="auto"/>
        <w:rPr>
          <w:rFonts w:asciiTheme="minorHAnsi" w:hAnsiTheme="minorHAnsi"/>
          <w:sz w:val="32"/>
          <w:szCs w:val="48"/>
        </w:rPr>
      </w:pPr>
      <w:r>
        <w:rPr>
          <w:rFonts w:asciiTheme="minorHAnsi" w:hAnsiTheme="minorHAnsi"/>
          <w:sz w:val="32"/>
          <w:szCs w:val="48"/>
        </w:rPr>
        <w:t>Arbeitsblatt 8</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18E67DAA" w:rsidR="00EA61CF" w:rsidRPr="005B6187" w:rsidRDefault="00CD6914" w:rsidP="000D11E1">
      <w:pPr>
        <w:jc w:val="right"/>
        <w:rPr>
          <w:rFonts w:asciiTheme="minorHAnsi" w:hAnsiTheme="minorHAnsi"/>
          <w:sz w:val="28"/>
          <w:szCs w:val="28"/>
        </w:rPr>
      </w:pPr>
      <w:r>
        <w:rPr>
          <w:rFonts w:asciiTheme="minorHAnsi" w:hAnsiTheme="minorHAnsi"/>
          <w:sz w:val="28"/>
          <w:szCs w:val="28"/>
        </w:rPr>
        <w:t>Prof. Dr. Michael Herbst, 29</w:t>
      </w:r>
      <w:r w:rsidR="00D85BF0">
        <w:rPr>
          <w:rFonts w:asciiTheme="minorHAnsi" w:hAnsiTheme="minorHAnsi"/>
          <w:sz w:val="28"/>
          <w:szCs w:val="28"/>
        </w:rPr>
        <w:t xml:space="preserve">. November </w:t>
      </w:r>
      <w:r w:rsidR="003E38B9">
        <w:rPr>
          <w:rFonts w:asciiTheme="minorHAnsi" w:hAnsiTheme="minorHAnsi"/>
          <w:sz w:val="28"/>
          <w:szCs w:val="28"/>
        </w:rPr>
        <w:t>2013</w:t>
      </w:r>
    </w:p>
    <w:p w14:paraId="4C8B2586" w14:textId="77777777" w:rsidR="005D5158" w:rsidRDefault="005D5158" w:rsidP="007A048B">
      <w:pPr>
        <w:rPr>
          <w:sz w:val="22"/>
        </w:rPr>
      </w:pPr>
    </w:p>
    <w:p w14:paraId="686E574A" w14:textId="77777777" w:rsidR="00036C08" w:rsidRPr="00AC5AF8" w:rsidRDefault="00036C08" w:rsidP="00036C08">
      <w:pPr>
        <w:pStyle w:val="berschrift1"/>
        <w:ind w:left="432" w:hanging="432"/>
        <w:rPr>
          <w:rFonts w:asciiTheme="minorHAnsi" w:hAnsiTheme="minorHAnsi"/>
        </w:rPr>
      </w:pPr>
      <w:r w:rsidRPr="00AC5AF8">
        <w:rPr>
          <w:rFonts w:asciiTheme="minorHAnsi" w:hAnsiTheme="minorHAnsi"/>
        </w:rPr>
        <w:t>3. Wie sprechen wir seelsorglich vom Menschen?</w:t>
      </w:r>
    </w:p>
    <w:p w14:paraId="3862AF7B" w14:textId="77777777" w:rsidR="0037503E" w:rsidRDefault="0037503E" w:rsidP="0037503E">
      <w:pPr>
        <w:pStyle w:val="berschrift2"/>
        <w:rPr>
          <w:sz w:val="24"/>
        </w:rPr>
      </w:pPr>
      <w:r w:rsidRPr="0037503E">
        <w:rPr>
          <w:sz w:val="24"/>
        </w:rPr>
        <w:t>3.2  Der Mensch als Beziehungswesen</w:t>
      </w:r>
    </w:p>
    <w:p w14:paraId="2630B22C" w14:textId="160ACB9C" w:rsidR="003F32C4" w:rsidRPr="003F32C4" w:rsidRDefault="003F32C4" w:rsidP="003F32C4">
      <w:pPr>
        <w:jc w:val="center"/>
      </w:pPr>
      <w:r w:rsidRPr="009F015D">
        <w:drawing>
          <wp:inline distT="0" distB="0" distL="0" distR="0" wp14:anchorId="102FB045" wp14:editId="601F96B2">
            <wp:extent cx="3389770" cy="2542328"/>
            <wp:effectExtent l="0" t="0" r="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515" cy="2542887"/>
                    </a:xfrm>
                    <a:prstGeom prst="rect">
                      <a:avLst/>
                    </a:prstGeom>
                    <a:noFill/>
                    <a:ln>
                      <a:noFill/>
                    </a:ln>
                  </pic:spPr>
                </pic:pic>
              </a:graphicData>
            </a:graphic>
          </wp:inline>
        </w:drawing>
      </w:r>
      <w:r w:rsidRPr="00B92B92">
        <w:rPr>
          <w:rStyle w:val="Funotenzeichen"/>
          <w:sz w:val="22"/>
        </w:rPr>
        <w:footnoteReference w:id="1"/>
      </w:r>
    </w:p>
    <w:p w14:paraId="643F427F" w14:textId="77777777" w:rsidR="0037503E" w:rsidRPr="00BC17F0" w:rsidRDefault="0037503E" w:rsidP="0037503E">
      <w:pPr>
        <w:pStyle w:val="berschrift3"/>
        <w:rPr>
          <w:sz w:val="22"/>
        </w:rPr>
      </w:pPr>
      <w:r w:rsidRPr="00BC17F0">
        <w:rPr>
          <w:sz w:val="22"/>
        </w:rPr>
        <w:lastRenderedPageBreak/>
        <w:t xml:space="preserve">3.2.1 Geschaffen zum Beziehungsgegenüber </w:t>
      </w:r>
    </w:p>
    <w:p w14:paraId="38FF37E1" w14:textId="17EE0127" w:rsidR="003F32C4" w:rsidRDefault="003F32C4" w:rsidP="003F32C4">
      <w:pPr>
        <w:jc w:val="center"/>
      </w:pPr>
      <w:r>
        <w:rPr>
          <w:noProof/>
          <w:lang w:eastAsia="de-DE"/>
        </w:rPr>
        <w:drawing>
          <wp:inline distT="0" distB="0" distL="0" distR="0" wp14:anchorId="171E37A2" wp14:editId="7D4904E9">
            <wp:extent cx="2853478" cy="2140030"/>
            <wp:effectExtent l="0" t="0" r="0" b="0"/>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431" cy="2140744"/>
                    </a:xfrm>
                    <a:prstGeom prst="rect">
                      <a:avLst/>
                    </a:prstGeom>
                    <a:noFill/>
                    <a:ln>
                      <a:noFill/>
                    </a:ln>
                  </pic:spPr>
                </pic:pic>
              </a:graphicData>
            </a:graphic>
          </wp:inline>
        </w:drawing>
      </w:r>
      <w:r w:rsidRPr="006D7AD1">
        <w:rPr>
          <w:rStyle w:val="Funotenzeichen"/>
          <w:rFonts w:asciiTheme="minorHAnsi" w:hAnsiTheme="minorHAnsi"/>
        </w:rPr>
        <w:footnoteReference w:id="2"/>
      </w:r>
    </w:p>
    <w:p w14:paraId="1AE9728B" w14:textId="0563B2E7" w:rsidR="0037503E" w:rsidRDefault="003F32C4" w:rsidP="003F32C4">
      <w:pPr>
        <w:jc w:val="center"/>
      </w:pPr>
      <w:r w:rsidRPr="003F32C4">
        <w:drawing>
          <wp:inline distT="0" distB="0" distL="0" distR="0" wp14:anchorId="1C264B08" wp14:editId="3942D6E0">
            <wp:extent cx="2684992" cy="2013744"/>
            <wp:effectExtent l="0" t="0" r="7620" b="0"/>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992" cy="2013744"/>
                    </a:xfrm>
                    <a:prstGeom prst="rect">
                      <a:avLst/>
                    </a:prstGeom>
                    <a:noFill/>
                    <a:ln>
                      <a:noFill/>
                    </a:ln>
                  </pic:spPr>
                </pic:pic>
              </a:graphicData>
            </a:graphic>
          </wp:inline>
        </w:drawing>
      </w:r>
      <w:r w:rsidR="0037503E" w:rsidRPr="003F32C4">
        <w:rPr>
          <w:rStyle w:val="Funotenzeichen"/>
          <w:sz w:val="22"/>
        </w:rPr>
        <w:footnoteReference w:id="3"/>
      </w:r>
      <w:r w:rsidR="0037503E">
        <w:t xml:space="preserve"> </w:t>
      </w:r>
    </w:p>
    <w:p w14:paraId="7C990430" w14:textId="77777777" w:rsidR="0037503E" w:rsidRPr="00CA77E7" w:rsidRDefault="0037503E" w:rsidP="0037503E">
      <w:pPr>
        <w:rPr>
          <w:sz w:val="22"/>
        </w:rPr>
      </w:pPr>
      <w:r w:rsidRPr="00CA77E7">
        <w:rPr>
          <w:sz w:val="22"/>
        </w:rPr>
        <w:t>Der Mensch als Geschöpf ist in diesen Grenzen und mit diesen Gaben zum Leben berufen. In diesen Grenzen soll er leben wollen und sein Leben eigenständig führen. Es ist seine B</w:t>
      </w:r>
      <w:r w:rsidRPr="00CA77E7">
        <w:rPr>
          <w:sz w:val="22"/>
        </w:rPr>
        <w:t>e</w:t>
      </w:r>
      <w:r w:rsidRPr="00CA77E7">
        <w:rPr>
          <w:sz w:val="22"/>
        </w:rPr>
        <w:t xml:space="preserve">stimmung, sich zum </w:t>
      </w:r>
      <w:proofErr w:type="spellStart"/>
      <w:r w:rsidRPr="00CA77E7">
        <w:rPr>
          <w:sz w:val="22"/>
        </w:rPr>
        <w:t>Gegebensein</w:t>
      </w:r>
      <w:proofErr w:type="spellEnd"/>
      <w:r w:rsidRPr="00CA77E7">
        <w:rPr>
          <w:sz w:val="22"/>
        </w:rPr>
        <w:t xml:space="preserve"> seines Lebens zu verhalten, indem er den Geber achtet und das Gegebene b</w:t>
      </w:r>
      <w:r w:rsidRPr="00CA77E7">
        <w:rPr>
          <w:sz w:val="22"/>
        </w:rPr>
        <w:t>e</w:t>
      </w:r>
      <w:r w:rsidRPr="00CA77E7">
        <w:rPr>
          <w:sz w:val="22"/>
        </w:rPr>
        <w:t>wahrt.</w:t>
      </w:r>
      <w:r w:rsidRPr="00CA77E7">
        <w:rPr>
          <w:rStyle w:val="Funotenzeichen"/>
          <w:sz w:val="22"/>
        </w:rPr>
        <w:footnoteReference w:id="4"/>
      </w:r>
    </w:p>
    <w:p w14:paraId="3AB680DC" w14:textId="77777777" w:rsidR="0037503E" w:rsidRPr="00CA77E7" w:rsidRDefault="0037503E" w:rsidP="0037503E">
      <w:pPr>
        <w:pStyle w:val="berschrift4"/>
        <w:rPr>
          <w:sz w:val="22"/>
        </w:rPr>
      </w:pPr>
      <w:bookmarkStart w:id="0" w:name="_Toc179357581"/>
      <w:r w:rsidRPr="00CA77E7">
        <w:rPr>
          <w:sz w:val="22"/>
        </w:rPr>
        <w:t>Geschaffen zum Beziehungsgegenüber Gottes</w:t>
      </w:r>
      <w:bookmarkEnd w:id="0"/>
    </w:p>
    <w:p w14:paraId="4E5A5646" w14:textId="77777777" w:rsidR="00426239" w:rsidRDefault="0037503E" w:rsidP="00426239">
      <w:pPr>
        <w:spacing w:after="120"/>
        <w:rPr>
          <w:sz w:val="22"/>
        </w:rPr>
      </w:pPr>
      <w:r w:rsidRPr="00426239">
        <w:rPr>
          <w:sz w:val="22"/>
        </w:rPr>
        <w:t xml:space="preserve">Gott </w:t>
      </w:r>
      <w:r w:rsidR="00CA77E7" w:rsidRPr="00426239">
        <w:rPr>
          <w:sz w:val="22"/>
        </w:rPr>
        <w:t xml:space="preserve">ist </w:t>
      </w:r>
      <w:r w:rsidRPr="00426239">
        <w:rPr>
          <w:sz w:val="22"/>
        </w:rPr>
        <w:t xml:space="preserve">der Ursprung </w:t>
      </w:r>
      <w:r w:rsidR="00CA77E7" w:rsidRPr="00426239">
        <w:rPr>
          <w:sz w:val="22"/>
        </w:rPr>
        <w:t xml:space="preserve">des menschlichen </w:t>
      </w:r>
      <w:r w:rsidRPr="00426239">
        <w:rPr>
          <w:sz w:val="22"/>
        </w:rPr>
        <w:t xml:space="preserve">Lebens und zugleich der </w:t>
      </w:r>
      <w:r w:rsidRPr="00426239">
        <w:rPr>
          <w:bCs/>
          <w:iCs/>
          <w:sz w:val="22"/>
        </w:rPr>
        <w:t>Garant seiner Würde</w:t>
      </w:r>
      <w:r w:rsidRPr="00426239">
        <w:rPr>
          <w:sz w:val="22"/>
        </w:rPr>
        <w:t xml:space="preserve"> als von Gott erschaffenes und gewolltes Begegnungsgegenüber. </w:t>
      </w:r>
      <w:r w:rsidR="00CA77E7" w:rsidRPr="00426239">
        <w:rPr>
          <w:sz w:val="22"/>
        </w:rPr>
        <w:t xml:space="preserve">Die </w:t>
      </w:r>
      <w:r w:rsidRPr="00426239">
        <w:rPr>
          <w:sz w:val="22"/>
        </w:rPr>
        <w:t xml:space="preserve">Würde </w:t>
      </w:r>
      <w:r w:rsidR="00CA77E7" w:rsidRPr="00426239">
        <w:rPr>
          <w:sz w:val="22"/>
        </w:rPr>
        <w:t xml:space="preserve">des Menschen </w:t>
      </w:r>
      <w:r w:rsidRPr="00426239">
        <w:rPr>
          <w:sz w:val="22"/>
        </w:rPr>
        <w:t>besteht nicht in se</w:t>
      </w:r>
      <w:r w:rsidRPr="00426239">
        <w:rPr>
          <w:sz w:val="22"/>
        </w:rPr>
        <w:t>i</w:t>
      </w:r>
      <w:r w:rsidRPr="00426239">
        <w:rPr>
          <w:sz w:val="22"/>
        </w:rPr>
        <w:t>nen herausragenden Eigenschaften oder Taten</w:t>
      </w:r>
      <w:r w:rsidR="00CA77E7" w:rsidRPr="00426239">
        <w:rPr>
          <w:sz w:val="22"/>
        </w:rPr>
        <w:t xml:space="preserve"> oder Fähigkeiten</w:t>
      </w:r>
      <w:r w:rsidRPr="00426239">
        <w:rPr>
          <w:sz w:val="22"/>
        </w:rPr>
        <w:t>. Sie besteht von Anfang an und bis zum Ende darin, von Gott gewollt und ins Leben g</w:t>
      </w:r>
      <w:r w:rsidRPr="00426239">
        <w:rPr>
          <w:sz w:val="22"/>
        </w:rPr>
        <w:t>e</w:t>
      </w:r>
      <w:r w:rsidRPr="00426239">
        <w:rPr>
          <w:sz w:val="22"/>
        </w:rPr>
        <w:t>rufen, geliebt und erhalten zu sein. „Der Mensch ist Mensch, weil Gott an ihn denkt und wohlwollend nach ihm sieht“, ja ihn in besonderer Weise trotz seiner „Kleinheit und Hinfälligkeit“</w:t>
      </w:r>
      <w:r w:rsidRPr="00426239">
        <w:rPr>
          <w:rStyle w:val="Funotenzeichen"/>
          <w:sz w:val="22"/>
        </w:rPr>
        <w:footnoteReference w:id="5"/>
      </w:r>
      <w:r w:rsidRPr="00426239">
        <w:rPr>
          <w:rStyle w:val="Funotenzeichen"/>
          <w:sz w:val="22"/>
        </w:rPr>
        <w:t xml:space="preserve"> </w:t>
      </w:r>
      <w:r w:rsidRPr="00426239">
        <w:rPr>
          <w:sz w:val="22"/>
        </w:rPr>
        <w:t>adelt (</w:t>
      </w:r>
      <w:proofErr w:type="spellStart"/>
      <w:r w:rsidRPr="00426239">
        <w:rPr>
          <w:sz w:val="22"/>
        </w:rPr>
        <w:t>Ps</w:t>
      </w:r>
      <w:proofErr w:type="spellEnd"/>
      <w:r w:rsidRPr="00426239">
        <w:rPr>
          <w:sz w:val="22"/>
        </w:rPr>
        <w:t xml:space="preserve"> 8). </w:t>
      </w:r>
      <w:r w:rsidR="00426239">
        <w:rPr>
          <w:sz w:val="22"/>
        </w:rPr>
        <w:t>Die Würde des Menschen ist als „</w:t>
      </w:r>
      <w:proofErr w:type="spellStart"/>
      <w:r w:rsidR="00426239">
        <w:rPr>
          <w:sz w:val="22"/>
        </w:rPr>
        <w:t>dignitas</w:t>
      </w:r>
      <w:proofErr w:type="spellEnd"/>
      <w:r w:rsidR="00426239">
        <w:rPr>
          <w:sz w:val="22"/>
        </w:rPr>
        <w:t xml:space="preserve"> </w:t>
      </w:r>
      <w:proofErr w:type="spellStart"/>
      <w:r w:rsidR="00426239">
        <w:rPr>
          <w:sz w:val="22"/>
        </w:rPr>
        <w:t>aliena</w:t>
      </w:r>
      <w:proofErr w:type="spellEnd"/>
      <w:r w:rsidR="00426239">
        <w:rPr>
          <w:sz w:val="22"/>
        </w:rPr>
        <w:t xml:space="preserve">“ </w:t>
      </w:r>
      <w:r w:rsidR="00426239" w:rsidRPr="00426239">
        <w:rPr>
          <w:sz w:val="22"/>
        </w:rPr>
        <w:t xml:space="preserve">extern zu begründen; sie wird dem </w:t>
      </w:r>
      <w:r w:rsidRPr="00426239">
        <w:rPr>
          <w:sz w:val="22"/>
        </w:rPr>
        <w:t>Menschen von außen und „oben“ zugespr</w:t>
      </w:r>
      <w:r w:rsidRPr="00426239">
        <w:rPr>
          <w:sz w:val="22"/>
        </w:rPr>
        <w:t>o</w:t>
      </w:r>
      <w:r w:rsidR="00426239" w:rsidRPr="00426239">
        <w:rPr>
          <w:sz w:val="22"/>
        </w:rPr>
        <w:t>chen.</w:t>
      </w:r>
    </w:p>
    <w:p w14:paraId="5C85FAE8" w14:textId="689903DE" w:rsidR="00426239" w:rsidRDefault="00426239" w:rsidP="00426239">
      <w:pPr>
        <w:spacing w:after="120"/>
        <w:rPr>
          <w:sz w:val="22"/>
        </w:rPr>
      </w:pPr>
      <w:r>
        <w:rPr>
          <w:sz w:val="22"/>
        </w:rPr>
        <w:t>Der Mensch ist Ebenbild Gottes (</w:t>
      </w:r>
      <w:proofErr w:type="spellStart"/>
      <w:r w:rsidRPr="00426239">
        <w:rPr>
          <w:i/>
          <w:sz w:val="22"/>
        </w:rPr>
        <w:t>imago</w:t>
      </w:r>
      <w:proofErr w:type="spellEnd"/>
      <w:r w:rsidRPr="00426239">
        <w:rPr>
          <w:i/>
          <w:sz w:val="22"/>
        </w:rPr>
        <w:t xml:space="preserve"> </w:t>
      </w:r>
      <w:proofErr w:type="spellStart"/>
      <w:r w:rsidRPr="00426239">
        <w:rPr>
          <w:i/>
          <w:sz w:val="22"/>
        </w:rPr>
        <w:t>Dei</w:t>
      </w:r>
      <w:proofErr w:type="spellEnd"/>
      <w:r>
        <w:rPr>
          <w:sz w:val="22"/>
        </w:rPr>
        <w:t>):</w:t>
      </w:r>
    </w:p>
    <w:p w14:paraId="6360E34E" w14:textId="6787BF13" w:rsidR="00426239" w:rsidRPr="00426239" w:rsidRDefault="00426239" w:rsidP="00426239">
      <w:pPr>
        <w:jc w:val="center"/>
        <w:rPr>
          <w:sz w:val="22"/>
        </w:rPr>
      </w:pPr>
      <w:r w:rsidRPr="00426239">
        <w:rPr>
          <w:vertAlign w:val="superscript"/>
        </w:rPr>
        <w:drawing>
          <wp:inline distT="0" distB="0" distL="0" distR="0" wp14:anchorId="03CC8565" wp14:editId="582619C1">
            <wp:extent cx="2557144" cy="1917858"/>
            <wp:effectExtent l="0" t="0" r="8890" b="0"/>
            <wp:docPr id="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7622" cy="1918217"/>
                    </a:xfrm>
                    <a:prstGeom prst="rect">
                      <a:avLst/>
                    </a:prstGeom>
                    <a:noFill/>
                    <a:ln>
                      <a:noFill/>
                    </a:ln>
                  </pic:spPr>
                </pic:pic>
              </a:graphicData>
            </a:graphic>
          </wp:inline>
        </w:drawing>
      </w:r>
      <w:r w:rsidRPr="00426239">
        <w:rPr>
          <w:rStyle w:val="Funotenzeichen"/>
          <w:sz w:val="22"/>
        </w:rPr>
        <w:footnoteReference w:id="6"/>
      </w:r>
    </w:p>
    <w:p w14:paraId="66C45840" w14:textId="77777777" w:rsidR="0037503E" w:rsidRDefault="0037503E" w:rsidP="0037503E">
      <w:pPr>
        <w:pStyle w:val="berschrift4"/>
        <w:rPr>
          <w:sz w:val="22"/>
        </w:rPr>
      </w:pPr>
      <w:bookmarkStart w:id="1" w:name="_Toc179357582"/>
      <w:r w:rsidRPr="00426239">
        <w:rPr>
          <w:sz w:val="22"/>
        </w:rPr>
        <w:t>Geschaffen zu vielfältigen Beziehungen: das Ökosystem der Beziehungen</w:t>
      </w:r>
      <w:bookmarkEnd w:id="1"/>
    </w:p>
    <w:p w14:paraId="08216A0F" w14:textId="7C13D88E" w:rsidR="00426239" w:rsidRPr="00426239" w:rsidRDefault="00426239" w:rsidP="00426239">
      <w:pPr>
        <w:spacing w:after="120"/>
        <w:rPr>
          <w:sz w:val="22"/>
        </w:rPr>
      </w:pPr>
      <w:r w:rsidRPr="00426239">
        <w:rPr>
          <w:sz w:val="22"/>
        </w:rPr>
        <w:t>Luther formulierte: „</w:t>
      </w:r>
      <w:r w:rsidRPr="00426239">
        <w:rPr>
          <w:sz w:val="22"/>
          <w:u w:val="single"/>
        </w:rPr>
        <w:t>Ich</w:t>
      </w:r>
      <w:r w:rsidRPr="00426239">
        <w:rPr>
          <w:sz w:val="22"/>
        </w:rPr>
        <w:t xml:space="preserve"> glaube, dass </w:t>
      </w:r>
      <w:r w:rsidRPr="00426239">
        <w:rPr>
          <w:bCs/>
          <w:sz w:val="22"/>
          <w:u w:val="single"/>
        </w:rPr>
        <w:t>mich</w:t>
      </w:r>
      <w:r w:rsidRPr="00426239">
        <w:rPr>
          <w:bCs/>
          <w:sz w:val="22"/>
        </w:rPr>
        <w:t xml:space="preserve"> </w:t>
      </w:r>
      <w:r w:rsidRPr="00426239">
        <w:rPr>
          <w:sz w:val="22"/>
        </w:rPr>
        <w:t xml:space="preserve">Gott geschaffen hat </w:t>
      </w:r>
      <w:r w:rsidRPr="00426239">
        <w:rPr>
          <w:bCs/>
          <w:sz w:val="22"/>
        </w:rPr>
        <w:t>samt allen Kreaturen</w:t>
      </w:r>
      <w:r w:rsidRPr="00426239">
        <w:rPr>
          <w:sz w:val="22"/>
        </w:rPr>
        <w:t xml:space="preserve">, </w:t>
      </w:r>
      <w:r w:rsidRPr="00426239">
        <w:rPr>
          <w:bCs/>
          <w:sz w:val="22"/>
          <w:u w:val="single"/>
        </w:rPr>
        <w:t>mir</w:t>
      </w:r>
      <w:r w:rsidRPr="00426239">
        <w:rPr>
          <w:sz w:val="22"/>
        </w:rPr>
        <w:t xml:space="preserve"> Leib und Seele, Augen, Ohren und alle Glieder, Vernunft und alle Sinne gegeben hat und noch erhält.“ </w:t>
      </w:r>
    </w:p>
    <w:p w14:paraId="37668C18" w14:textId="77777777" w:rsidR="00426239" w:rsidRPr="00426239" w:rsidRDefault="00426239" w:rsidP="00426239">
      <w:pPr>
        <w:spacing w:after="120"/>
        <w:rPr>
          <w:sz w:val="20"/>
        </w:rPr>
      </w:pPr>
      <w:r w:rsidRPr="00426239">
        <w:rPr>
          <w:sz w:val="20"/>
        </w:rPr>
        <w:t xml:space="preserve">Eberhard </w:t>
      </w:r>
      <w:proofErr w:type="spellStart"/>
      <w:r w:rsidRPr="00426239">
        <w:rPr>
          <w:sz w:val="20"/>
        </w:rPr>
        <w:t>Jüngel</w:t>
      </w:r>
      <w:proofErr w:type="spellEnd"/>
      <w:r w:rsidRPr="00426239">
        <w:rPr>
          <w:sz w:val="20"/>
        </w:rPr>
        <w:t xml:space="preserve"> zeichnet die Bestimmung zu einem Leben in vielfältigen Beziehungen in die Trinität</w:t>
      </w:r>
      <w:r w:rsidRPr="00426239">
        <w:rPr>
          <w:sz w:val="20"/>
        </w:rPr>
        <w:t>s</w:t>
      </w:r>
      <w:r w:rsidRPr="00426239">
        <w:rPr>
          <w:sz w:val="20"/>
        </w:rPr>
        <w:t>lehre ein: Gott ist ja selbst „die personale Gemeinschaft gegenseitigen A</w:t>
      </w:r>
      <w:r w:rsidRPr="00426239">
        <w:rPr>
          <w:sz w:val="20"/>
        </w:rPr>
        <w:t>n</w:t>
      </w:r>
      <w:r w:rsidRPr="00426239">
        <w:rPr>
          <w:sz w:val="20"/>
        </w:rPr>
        <w:t xml:space="preserve">dersseins“. Daraus folgert er: „Und eben dies gilt in analoger Weise auch für das Geschöpf. Auch das </w:t>
      </w:r>
      <w:proofErr w:type="spellStart"/>
      <w:r w:rsidRPr="00426239">
        <w:rPr>
          <w:sz w:val="20"/>
        </w:rPr>
        <w:t>geschöpfliche</w:t>
      </w:r>
      <w:proofErr w:type="spellEnd"/>
      <w:r w:rsidRPr="00426239">
        <w:rPr>
          <w:sz w:val="20"/>
        </w:rPr>
        <w:t xml:space="preserve"> Sein ist Zusammensein, </w:t>
      </w:r>
      <w:proofErr w:type="spellStart"/>
      <w:r w:rsidRPr="00426239">
        <w:rPr>
          <w:sz w:val="20"/>
        </w:rPr>
        <w:t>Aufeinanderb</w:t>
      </w:r>
      <w:r w:rsidRPr="00426239">
        <w:rPr>
          <w:sz w:val="20"/>
        </w:rPr>
        <w:t>e</w:t>
      </w:r>
      <w:r w:rsidRPr="00426239">
        <w:rPr>
          <w:sz w:val="20"/>
        </w:rPr>
        <w:t>zogensein</w:t>
      </w:r>
      <w:proofErr w:type="spellEnd"/>
      <w:r w:rsidRPr="00426239">
        <w:rPr>
          <w:sz w:val="20"/>
        </w:rPr>
        <w:t>, gemeinschaftl</w:t>
      </w:r>
      <w:r w:rsidRPr="00426239">
        <w:rPr>
          <w:sz w:val="20"/>
        </w:rPr>
        <w:t>i</w:t>
      </w:r>
      <w:r w:rsidRPr="00426239">
        <w:rPr>
          <w:sz w:val="20"/>
        </w:rPr>
        <w:t>ches Sein. Und eben darin ist es gut. [...] Leben ist nur möglich als Zusammensein: das Leben im mikrobiologischen Bereich ebenso wie im personalen Bereich. Jede Problematisierung des Zusa</w:t>
      </w:r>
      <w:r w:rsidRPr="00426239">
        <w:rPr>
          <w:sz w:val="20"/>
        </w:rPr>
        <w:t>m</w:t>
      </w:r>
      <w:r w:rsidRPr="00426239">
        <w:rPr>
          <w:sz w:val="20"/>
        </w:rPr>
        <w:t>menseins wäre auch schon lebensgefährlich.“</w:t>
      </w:r>
      <w:r w:rsidRPr="00426239">
        <w:rPr>
          <w:rStyle w:val="Funotenzeichen"/>
          <w:sz w:val="20"/>
        </w:rPr>
        <w:footnoteReference w:id="7"/>
      </w:r>
      <w:r w:rsidRPr="00426239">
        <w:rPr>
          <w:rStyle w:val="Funotenzeichen"/>
          <w:sz w:val="20"/>
        </w:rPr>
        <w:t xml:space="preserve"> </w:t>
      </w:r>
    </w:p>
    <w:p w14:paraId="13D39778" w14:textId="77777777" w:rsidR="00426239" w:rsidRPr="00426239" w:rsidRDefault="00426239" w:rsidP="00426239"/>
    <w:p w14:paraId="120BBE86" w14:textId="51420A5B" w:rsidR="00426239" w:rsidRDefault="00426239" w:rsidP="00426239">
      <w:pPr>
        <w:jc w:val="center"/>
      </w:pPr>
      <w:r w:rsidRPr="00426239">
        <w:drawing>
          <wp:inline distT="0" distB="0" distL="0" distR="0" wp14:anchorId="5DA72EC8" wp14:editId="598D744C">
            <wp:extent cx="4012142" cy="3009107"/>
            <wp:effectExtent l="0" t="0" r="1270" b="0"/>
            <wp:docPr id="2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2142" cy="3009107"/>
                    </a:xfrm>
                    <a:prstGeom prst="rect">
                      <a:avLst/>
                    </a:prstGeom>
                    <a:noFill/>
                    <a:ln>
                      <a:noFill/>
                    </a:ln>
                  </pic:spPr>
                </pic:pic>
              </a:graphicData>
            </a:graphic>
          </wp:inline>
        </w:drawing>
      </w:r>
      <w:r w:rsidRPr="00426239">
        <w:rPr>
          <w:rStyle w:val="Funotenzeichen"/>
          <w:sz w:val="22"/>
        </w:rPr>
        <w:footnoteReference w:id="8"/>
      </w:r>
    </w:p>
    <w:p w14:paraId="0D4B453B" w14:textId="77777777" w:rsidR="008A7BCE" w:rsidRPr="00757420" w:rsidRDefault="0037503E" w:rsidP="0037503E">
      <w:pPr>
        <w:rPr>
          <w:sz w:val="22"/>
        </w:rPr>
      </w:pPr>
      <w:r w:rsidRPr="00757420">
        <w:rPr>
          <w:sz w:val="22"/>
        </w:rPr>
        <w:t>Wir sehen den Menschen in seiner vielfachen Bezogenheit. Er ist ein Bezi</w:t>
      </w:r>
      <w:r w:rsidRPr="00757420">
        <w:rPr>
          <w:sz w:val="22"/>
        </w:rPr>
        <w:t>e</w:t>
      </w:r>
      <w:r w:rsidRPr="00757420">
        <w:rPr>
          <w:sz w:val="22"/>
        </w:rPr>
        <w:t xml:space="preserve">hungswesen, das gar nicht außerhalb dieses Ökosystems von Beziehungen gedacht werden kann. </w:t>
      </w:r>
    </w:p>
    <w:p w14:paraId="4D065638" w14:textId="71934F39" w:rsidR="0037503E" w:rsidRPr="00757420" w:rsidRDefault="008A7BCE" w:rsidP="00757420">
      <w:pPr>
        <w:spacing w:after="120"/>
        <w:rPr>
          <w:sz w:val="22"/>
        </w:rPr>
      </w:pPr>
      <w:r w:rsidRPr="00757420">
        <w:rPr>
          <w:sz w:val="22"/>
        </w:rPr>
        <w:t xml:space="preserve">Dieses </w:t>
      </w:r>
      <w:r w:rsidR="0037503E" w:rsidRPr="00757420">
        <w:rPr>
          <w:sz w:val="22"/>
        </w:rPr>
        <w:t>ganze Beziehungsgeschehen wird nun in einer bestimmten Weise durchwirkt und g</w:t>
      </w:r>
      <w:r w:rsidR="0037503E" w:rsidRPr="00757420">
        <w:rPr>
          <w:sz w:val="22"/>
        </w:rPr>
        <w:t>e</w:t>
      </w:r>
      <w:r w:rsidR="0037503E" w:rsidRPr="00757420">
        <w:rPr>
          <w:sz w:val="22"/>
        </w:rPr>
        <w:t>prägt. Wir können sagen: Dieses ganze Wesen ist nun in einer bestimmten Weise auf die Christuswir</w:t>
      </w:r>
      <w:r w:rsidR="0037503E" w:rsidRPr="00757420">
        <w:rPr>
          <w:sz w:val="22"/>
        </w:rPr>
        <w:t>k</w:t>
      </w:r>
      <w:r w:rsidR="0037503E" w:rsidRPr="00757420">
        <w:rPr>
          <w:sz w:val="22"/>
        </w:rPr>
        <w:t xml:space="preserve">lichkeit, die unsichtbare Welt oder auch das Reich Gottes bezogen. </w:t>
      </w:r>
    </w:p>
    <w:p w14:paraId="07268C25" w14:textId="0E1B4458" w:rsidR="0037503E" w:rsidRPr="00757420" w:rsidRDefault="008A7BCE" w:rsidP="00757420">
      <w:pPr>
        <w:spacing w:after="120"/>
        <w:rPr>
          <w:sz w:val="22"/>
        </w:rPr>
      </w:pPr>
      <w:r w:rsidRPr="00757420">
        <w:rPr>
          <w:sz w:val="22"/>
        </w:rPr>
        <w:t xml:space="preserve">Die grundsätzliche </w:t>
      </w:r>
      <w:r w:rsidR="0037503E" w:rsidRPr="00757420">
        <w:rPr>
          <w:sz w:val="22"/>
        </w:rPr>
        <w:t xml:space="preserve">Bestimmung </w:t>
      </w:r>
      <w:r w:rsidRPr="00757420">
        <w:rPr>
          <w:sz w:val="22"/>
        </w:rPr>
        <w:t xml:space="preserve">der Seele </w:t>
      </w:r>
      <w:r w:rsidR="0037503E" w:rsidRPr="00757420">
        <w:rPr>
          <w:sz w:val="22"/>
        </w:rPr>
        <w:t>ist es, als ganze in allen Beziehungen auf Gott b</w:t>
      </w:r>
      <w:r w:rsidR="0037503E" w:rsidRPr="00757420">
        <w:rPr>
          <w:sz w:val="22"/>
        </w:rPr>
        <w:t>e</w:t>
      </w:r>
      <w:r w:rsidR="0037503E" w:rsidRPr="00757420">
        <w:rPr>
          <w:sz w:val="22"/>
        </w:rPr>
        <w:t xml:space="preserve">zogen zu sein. </w:t>
      </w:r>
      <w:r w:rsidRPr="00757420">
        <w:rPr>
          <w:sz w:val="22"/>
        </w:rPr>
        <w:t xml:space="preserve">Wichtig ist es zu unterscheiden zwischen </w:t>
      </w:r>
      <w:r w:rsidR="0037503E" w:rsidRPr="00757420">
        <w:rPr>
          <w:sz w:val="22"/>
        </w:rPr>
        <w:t xml:space="preserve">der Beziehung zum großen Du und dem </w:t>
      </w:r>
      <w:proofErr w:type="spellStart"/>
      <w:r w:rsidR="0037503E" w:rsidRPr="00757420">
        <w:rPr>
          <w:sz w:val="22"/>
        </w:rPr>
        <w:t>Durchwirk</w:t>
      </w:r>
      <w:r w:rsidR="0037503E" w:rsidRPr="00757420">
        <w:rPr>
          <w:sz w:val="22"/>
        </w:rPr>
        <w:t>t</w:t>
      </w:r>
      <w:r w:rsidR="0037503E" w:rsidRPr="00757420">
        <w:rPr>
          <w:sz w:val="22"/>
        </w:rPr>
        <w:t>sein</w:t>
      </w:r>
      <w:proofErr w:type="spellEnd"/>
      <w:r w:rsidR="0037503E" w:rsidRPr="00757420">
        <w:rPr>
          <w:sz w:val="22"/>
        </w:rPr>
        <w:t xml:space="preserve"> von der Christuswirklichkeit, der unsichtbaren Welt oder dem Reich Gottes unterscheiden</w:t>
      </w:r>
      <w:r w:rsidRPr="00757420">
        <w:rPr>
          <w:sz w:val="22"/>
        </w:rPr>
        <w:t>. D</w:t>
      </w:r>
      <w:r w:rsidR="0037503E" w:rsidRPr="00757420">
        <w:rPr>
          <w:sz w:val="22"/>
        </w:rPr>
        <w:t>iese Untersche</w:t>
      </w:r>
      <w:r w:rsidR="0037503E" w:rsidRPr="00757420">
        <w:rPr>
          <w:sz w:val="22"/>
        </w:rPr>
        <w:t>i</w:t>
      </w:r>
      <w:r w:rsidRPr="00757420">
        <w:rPr>
          <w:sz w:val="22"/>
        </w:rPr>
        <w:t>dung...</w:t>
      </w:r>
    </w:p>
    <w:p w14:paraId="6CDB2D32" w14:textId="39AAF06E" w:rsidR="0037503E" w:rsidRPr="00757420" w:rsidRDefault="008A7BCE" w:rsidP="00757420">
      <w:pPr>
        <w:pStyle w:val="Listenabsatz"/>
        <w:numPr>
          <w:ilvl w:val="0"/>
          <w:numId w:val="20"/>
        </w:numPr>
        <w:spacing w:after="120"/>
        <w:rPr>
          <w:sz w:val="22"/>
        </w:rPr>
      </w:pPr>
      <w:r w:rsidRPr="00757420">
        <w:rPr>
          <w:sz w:val="22"/>
        </w:rPr>
        <w:t xml:space="preserve">kann erstens </w:t>
      </w:r>
      <w:r w:rsidR="0037503E" w:rsidRPr="00757420">
        <w:rPr>
          <w:sz w:val="22"/>
        </w:rPr>
        <w:t>das religiöse Leben als eigenen Sektor beschreiben, in dem ich spezifisch relig</w:t>
      </w:r>
      <w:r w:rsidR="0037503E" w:rsidRPr="00757420">
        <w:rPr>
          <w:sz w:val="22"/>
        </w:rPr>
        <w:t>i</w:t>
      </w:r>
      <w:r w:rsidR="0037503E" w:rsidRPr="00757420">
        <w:rPr>
          <w:sz w:val="22"/>
        </w:rPr>
        <w:t xml:space="preserve">öse Handlungen vollziehe, also z.B. bete, lobe, klage, opfere usw. Dieses religiöse Leben kann ich </w:t>
      </w:r>
      <w:r w:rsidRPr="00757420">
        <w:rPr>
          <w:sz w:val="22"/>
        </w:rPr>
        <w:t xml:space="preserve">wahrnehmen und z.B. in der Seelsorge fragen, </w:t>
      </w:r>
      <w:r w:rsidR="0037503E" w:rsidRPr="00757420">
        <w:rPr>
          <w:sz w:val="22"/>
        </w:rPr>
        <w:t xml:space="preserve">ob </w:t>
      </w:r>
      <w:r w:rsidRPr="00757420">
        <w:rPr>
          <w:sz w:val="22"/>
        </w:rPr>
        <w:t xml:space="preserve">es </w:t>
      </w:r>
      <w:r w:rsidR="0037503E" w:rsidRPr="00757420">
        <w:rPr>
          <w:sz w:val="22"/>
        </w:rPr>
        <w:t>gesund ist oder nicht. Auch die Go</w:t>
      </w:r>
      <w:r w:rsidR="0037503E" w:rsidRPr="00757420">
        <w:rPr>
          <w:sz w:val="22"/>
        </w:rPr>
        <w:t>t</w:t>
      </w:r>
      <w:r w:rsidR="0037503E" w:rsidRPr="00757420">
        <w:rPr>
          <w:sz w:val="22"/>
        </w:rPr>
        <w:t>tesbeziehung des Christen kann ja erkranken, sich falsch und ungesund entwickeln und d</w:t>
      </w:r>
      <w:r w:rsidR="0037503E" w:rsidRPr="00757420">
        <w:rPr>
          <w:sz w:val="22"/>
        </w:rPr>
        <w:t>e</w:t>
      </w:r>
      <w:r w:rsidR="0037503E" w:rsidRPr="00757420">
        <w:rPr>
          <w:sz w:val="22"/>
        </w:rPr>
        <w:t>for</w:t>
      </w:r>
      <w:r w:rsidRPr="00757420">
        <w:rPr>
          <w:sz w:val="22"/>
        </w:rPr>
        <w:t>miert werden.</w:t>
      </w:r>
      <w:r w:rsidR="0037503E" w:rsidRPr="00757420">
        <w:rPr>
          <w:rStyle w:val="Funotenzeichen"/>
          <w:sz w:val="22"/>
        </w:rPr>
        <w:footnoteReference w:id="9"/>
      </w:r>
      <w:r w:rsidR="0037503E" w:rsidRPr="00757420">
        <w:rPr>
          <w:sz w:val="22"/>
        </w:rPr>
        <w:t xml:space="preserve"> </w:t>
      </w:r>
    </w:p>
    <w:p w14:paraId="34CFCCDA" w14:textId="77777777" w:rsidR="00757420" w:rsidRPr="00757420" w:rsidRDefault="00757420" w:rsidP="00757420">
      <w:pPr>
        <w:pStyle w:val="Listenabsatz"/>
        <w:numPr>
          <w:ilvl w:val="0"/>
          <w:numId w:val="20"/>
        </w:numPr>
        <w:spacing w:after="120"/>
        <w:rPr>
          <w:sz w:val="22"/>
        </w:rPr>
      </w:pPr>
      <w:r w:rsidRPr="00757420">
        <w:rPr>
          <w:sz w:val="22"/>
        </w:rPr>
        <w:t xml:space="preserve">kann andererseits </w:t>
      </w:r>
      <w:r w:rsidR="0037503E" w:rsidRPr="00757420">
        <w:rPr>
          <w:sz w:val="22"/>
        </w:rPr>
        <w:t>genau umgekehrt zeigen, wie der Bezug zu Christus, zur unsichtbaren Welt oder zum Reich Gottes nicht nur das religiöse Leben wie einen „Herrgottswinkel“ b</w:t>
      </w:r>
      <w:r w:rsidR="0037503E" w:rsidRPr="00757420">
        <w:rPr>
          <w:sz w:val="22"/>
        </w:rPr>
        <w:t>e</w:t>
      </w:r>
      <w:r w:rsidR="0037503E" w:rsidRPr="00757420">
        <w:rPr>
          <w:sz w:val="22"/>
        </w:rPr>
        <w:t>stimmt. Diese Grundbestimmung des ganzen Beziehungsnetzes ist eben kein isolierter Tei</w:t>
      </w:r>
      <w:r w:rsidR="0037503E" w:rsidRPr="00757420">
        <w:rPr>
          <w:sz w:val="22"/>
        </w:rPr>
        <w:t>l</w:t>
      </w:r>
      <w:r w:rsidR="0037503E" w:rsidRPr="00757420">
        <w:rPr>
          <w:sz w:val="22"/>
        </w:rPr>
        <w:t>bereich des Seins, sondern umfasst und durchdringt</w:t>
      </w:r>
      <w:r w:rsidRPr="00757420">
        <w:rPr>
          <w:sz w:val="22"/>
        </w:rPr>
        <w:t xml:space="preserve"> alles</w:t>
      </w:r>
      <w:r w:rsidR="0037503E" w:rsidRPr="00757420">
        <w:rPr>
          <w:sz w:val="22"/>
        </w:rPr>
        <w:t xml:space="preserve">. </w:t>
      </w:r>
    </w:p>
    <w:p w14:paraId="2F61DB7D" w14:textId="22F2A588" w:rsidR="0037503E" w:rsidRDefault="0037503E" w:rsidP="00757420">
      <w:pPr>
        <w:pStyle w:val="Listenabsatz"/>
      </w:pPr>
      <w:r w:rsidRPr="00757420">
        <w:rPr>
          <w:sz w:val="20"/>
        </w:rPr>
        <w:t>Wilfried Härle spricht von der „Ursprungsbeziehung“, die gleichzeitig „das Fundament und die Begre</w:t>
      </w:r>
      <w:r w:rsidRPr="00757420">
        <w:rPr>
          <w:sz w:val="20"/>
        </w:rPr>
        <w:t>n</w:t>
      </w:r>
      <w:r w:rsidRPr="00757420">
        <w:rPr>
          <w:sz w:val="20"/>
        </w:rPr>
        <w:t>zung“ für alle anderen Beziehungen darstellt.</w:t>
      </w:r>
      <w:r w:rsidRPr="00757420">
        <w:rPr>
          <w:rStyle w:val="Funotenzeichen"/>
          <w:sz w:val="20"/>
        </w:rPr>
        <w:footnoteReference w:id="10"/>
      </w:r>
      <w:r w:rsidRPr="00757420">
        <w:rPr>
          <w:sz w:val="20"/>
        </w:rPr>
        <w:t xml:space="preserve"> Alle anderen Beziehungen werden somit davon entla</w:t>
      </w:r>
      <w:r w:rsidRPr="00757420">
        <w:rPr>
          <w:sz w:val="20"/>
        </w:rPr>
        <w:t>s</w:t>
      </w:r>
      <w:r w:rsidRPr="00757420">
        <w:rPr>
          <w:sz w:val="20"/>
        </w:rPr>
        <w:t>tet, zur letzten Instanz werden zu müssen.</w:t>
      </w:r>
      <w:r w:rsidRPr="00757420">
        <w:rPr>
          <w:rStyle w:val="Funotenzeichen"/>
          <w:sz w:val="20"/>
        </w:rPr>
        <w:footnoteReference w:id="11"/>
      </w:r>
    </w:p>
    <w:p w14:paraId="2FC3EF5F" w14:textId="4D01A8C9" w:rsidR="0037503E" w:rsidRDefault="00757420" w:rsidP="00757420">
      <w:pPr>
        <w:jc w:val="center"/>
      </w:pPr>
      <w:r w:rsidRPr="00757420">
        <w:drawing>
          <wp:inline distT="0" distB="0" distL="0" distR="0" wp14:anchorId="37E2BCD2" wp14:editId="46DC6673">
            <wp:extent cx="2481015" cy="1860762"/>
            <wp:effectExtent l="0" t="0" r="8255"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691" cy="1861269"/>
                    </a:xfrm>
                    <a:prstGeom prst="rect">
                      <a:avLst/>
                    </a:prstGeom>
                    <a:noFill/>
                    <a:ln>
                      <a:noFill/>
                    </a:ln>
                  </pic:spPr>
                </pic:pic>
              </a:graphicData>
            </a:graphic>
          </wp:inline>
        </w:drawing>
      </w:r>
      <w:r w:rsidR="0037503E" w:rsidRPr="00757420">
        <w:rPr>
          <w:rStyle w:val="Funotenzeichen"/>
          <w:sz w:val="22"/>
        </w:rPr>
        <w:footnoteReference w:id="12"/>
      </w:r>
    </w:p>
    <w:p w14:paraId="703A4D7D" w14:textId="6EB0C8C6" w:rsidR="0037503E" w:rsidRPr="00757420" w:rsidRDefault="0037503E" w:rsidP="00757420">
      <w:pPr>
        <w:ind w:left="284"/>
        <w:rPr>
          <w:i/>
          <w:sz w:val="22"/>
        </w:rPr>
      </w:pPr>
      <w:r w:rsidRPr="00757420">
        <w:rPr>
          <w:i/>
          <w:sz w:val="22"/>
        </w:rPr>
        <w:t>„Die Theologie hingegen definiert aus der Fülle ihrer Weisheit den ganzen und vollkommenen Menschen.“</w:t>
      </w:r>
      <w:r w:rsidRPr="00757420">
        <w:rPr>
          <w:rStyle w:val="Funotenzeichen"/>
          <w:i/>
          <w:sz w:val="22"/>
        </w:rPr>
        <w:footnoteReference w:id="13"/>
      </w:r>
    </w:p>
    <w:p w14:paraId="354DDB22" w14:textId="7F83D7CE" w:rsidR="00BC17F0" w:rsidRDefault="0037503E" w:rsidP="00BC17F0">
      <w:pPr>
        <w:rPr>
          <w:sz w:val="22"/>
        </w:rPr>
      </w:pPr>
      <w:r w:rsidRPr="00BC17F0">
        <w:rPr>
          <w:sz w:val="22"/>
        </w:rPr>
        <w:t xml:space="preserve">Seelsorge lebt nicht primär vom religiösen Thema, sondern von </w:t>
      </w:r>
      <w:r w:rsidR="001D357C">
        <w:rPr>
          <w:sz w:val="22"/>
        </w:rPr>
        <w:t xml:space="preserve">einer </w:t>
      </w:r>
      <w:r w:rsidRPr="00BC17F0">
        <w:rPr>
          <w:sz w:val="22"/>
        </w:rPr>
        <w:t>spezifischen Anthrop</w:t>
      </w:r>
      <w:r w:rsidRPr="00BC17F0">
        <w:rPr>
          <w:sz w:val="22"/>
        </w:rPr>
        <w:t>o</w:t>
      </w:r>
      <w:r w:rsidR="00BC17F0">
        <w:rPr>
          <w:sz w:val="22"/>
        </w:rPr>
        <w:t xml:space="preserve">logie: </w:t>
      </w:r>
    </w:p>
    <w:p w14:paraId="4540D179" w14:textId="06DC6CF7" w:rsidR="0037503E" w:rsidRPr="00BC17F0" w:rsidRDefault="0037503E" w:rsidP="00BC17F0">
      <w:pPr>
        <w:ind w:left="284"/>
        <w:rPr>
          <w:sz w:val="22"/>
        </w:rPr>
      </w:pPr>
      <w:r w:rsidRPr="00BC17F0">
        <w:rPr>
          <w:i/>
          <w:sz w:val="22"/>
        </w:rPr>
        <w:t>„Christliche Seelsorge ist angewandte biblisch-theologische Anthropologie.“</w:t>
      </w:r>
      <w:r w:rsidRPr="00BC17F0">
        <w:rPr>
          <w:rStyle w:val="Funotenzeichen"/>
          <w:i/>
          <w:sz w:val="22"/>
        </w:rPr>
        <w:footnoteReference w:id="14"/>
      </w:r>
    </w:p>
    <w:p w14:paraId="5AE5CC53" w14:textId="77777777" w:rsidR="00BC17F0" w:rsidRDefault="00BC17F0">
      <w:pPr>
        <w:spacing w:after="0" w:line="240" w:lineRule="auto"/>
        <w:rPr>
          <w:b/>
          <w:bCs/>
          <w:color w:val="4F81BD"/>
        </w:rPr>
      </w:pPr>
      <w:bookmarkStart w:id="2" w:name="_Toc179357583"/>
      <w:r>
        <w:br w:type="page"/>
      </w:r>
    </w:p>
    <w:p w14:paraId="62B0F682" w14:textId="0AD2FAA2" w:rsidR="0037503E" w:rsidRPr="00BC17F0" w:rsidRDefault="0037503E" w:rsidP="0037503E">
      <w:pPr>
        <w:pStyle w:val="berschrift3"/>
      </w:pPr>
      <w:r w:rsidRPr="00BC17F0">
        <w:t>3.2.2 „Gefallen und doch erhalten“: Der Mensch als Sünder in der Seelsorge</w:t>
      </w:r>
      <w:bookmarkEnd w:id="2"/>
    </w:p>
    <w:p w14:paraId="6260FC0D" w14:textId="77777777" w:rsidR="001D357C" w:rsidRDefault="001D357C" w:rsidP="001D357C">
      <w:pPr>
        <w:jc w:val="center"/>
        <w:rPr>
          <w:rFonts w:eastAsia="Arial"/>
        </w:rPr>
      </w:pPr>
      <w:r w:rsidRPr="001D357C">
        <w:rPr>
          <w:rFonts w:eastAsia="Arial"/>
        </w:rPr>
        <w:drawing>
          <wp:inline distT="0" distB="0" distL="0" distR="0" wp14:anchorId="0BCB80BC" wp14:editId="3433FF5B">
            <wp:extent cx="2822152" cy="2116614"/>
            <wp:effectExtent l="0" t="0" r="0" b="0"/>
            <wp:docPr id="2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322" cy="2116741"/>
                    </a:xfrm>
                    <a:prstGeom prst="rect">
                      <a:avLst/>
                    </a:prstGeom>
                    <a:noFill/>
                    <a:ln>
                      <a:noFill/>
                    </a:ln>
                  </pic:spPr>
                </pic:pic>
              </a:graphicData>
            </a:graphic>
          </wp:inline>
        </w:drawing>
      </w:r>
    </w:p>
    <w:p w14:paraId="1E53DDAB" w14:textId="6814D1D8" w:rsidR="001D357C" w:rsidRPr="001D357C" w:rsidRDefault="001D357C" w:rsidP="001D357C">
      <w:pPr>
        <w:rPr>
          <w:rFonts w:eastAsia="Arial"/>
          <w:bCs/>
          <w:iCs/>
          <w:sz w:val="22"/>
        </w:rPr>
      </w:pPr>
      <w:r w:rsidRPr="001D357C">
        <w:rPr>
          <w:rFonts w:eastAsia="Arial"/>
          <w:sz w:val="22"/>
        </w:rPr>
        <w:t>Die Urgeschichte erzählt auch die Geschichte vom „gefallenen“ Menschen (Gen 3f). Sie b</w:t>
      </w:r>
      <w:r w:rsidRPr="001D357C">
        <w:rPr>
          <w:rFonts w:eastAsia="Arial"/>
          <w:sz w:val="22"/>
        </w:rPr>
        <w:t>e</w:t>
      </w:r>
      <w:r w:rsidRPr="001D357C">
        <w:rPr>
          <w:rFonts w:eastAsia="Arial"/>
          <w:sz w:val="22"/>
        </w:rPr>
        <w:t xml:space="preserve">schreibt den Fall des Menschen als eine </w:t>
      </w:r>
      <w:r w:rsidRPr="001D357C">
        <w:rPr>
          <w:rFonts w:eastAsia="Arial"/>
          <w:bCs/>
          <w:iCs/>
          <w:sz w:val="22"/>
        </w:rPr>
        <w:t>Geschichte des fortlaufenden Beziehungsze</w:t>
      </w:r>
      <w:r w:rsidRPr="001D357C">
        <w:rPr>
          <w:rFonts w:eastAsia="Arial"/>
          <w:bCs/>
          <w:iCs/>
          <w:sz w:val="22"/>
        </w:rPr>
        <w:t>r</w:t>
      </w:r>
      <w:r w:rsidRPr="001D357C">
        <w:rPr>
          <w:rFonts w:eastAsia="Arial"/>
          <w:bCs/>
          <w:iCs/>
          <w:sz w:val="22"/>
        </w:rPr>
        <w:t>falls</w:t>
      </w:r>
      <w:r w:rsidRPr="001D357C">
        <w:rPr>
          <w:rFonts w:eastAsia="Arial"/>
          <w:sz w:val="22"/>
        </w:rPr>
        <w:t xml:space="preserve">. Initial ist dabei der Bruch in der </w:t>
      </w:r>
      <w:r w:rsidRPr="001D357C">
        <w:rPr>
          <w:rFonts w:eastAsia="Arial"/>
          <w:bCs/>
          <w:iCs/>
          <w:sz w:val="22"/>
        </w:rPr>
        <w:t>Beziehung zu Gott, wurzelnd in einem fatalen Mis</w:t>
      </w:r>
      <w:r w:rsidRPr="001D357C">
        <w:rPr>
          <w:rFonts w:eastAsia="Arial"/>
          <w:bCs/>
          <w:iCs/>
          <w:sz w:val="22"/>
        </w:rPr>
        <w:t>s</w:t>
      </w:r>
      <w:r w:rsidRPr="001D357C">
        <w:rPr>
          <w:rFonts w:eastAsia="Arial"/>
          <w:bCs/>
          <w:iCs/>
          <w:sz w:val="22"/>
        </w:rPr>
        <w:t>trauen dem Schöpfer gegenüber, das sich in den Menschen „hochschlängelt“.</w:t>
      </w:r>
      <w:r w:rsidRPr="001D357C">
        <w:rPr>
          <w:rStyle w:val="Funotenzeichen"/>
          <w:rFonts w:eastAsia="Arial"/>
          <w:sz w:val="22"/>
        </w:rPr>
        <w:footnoteReference w:id="15"/>
      </w:r>
    </w:p>
    <w:p w14:paraId="5B6DF6C2" w14:textId="24ACF655" w:rsidR="001D357C" w:rsidRDefault="001D357C" w:rsidP="001D357C">
      <w:pPr>
        <w:jc w:val="center"/>
        <w:rPr>
          <w:rFonts w:eastAsia="Arial"/>
        </w:rPr>
      </w:pPr>
      <w:r w:rsidRPr="001D357C">
        <w:rPr>
          <w:rFonts w:eastAsia="Arial"/>
        </w:rPr>
        <w:drawing>
          <wp:inline distT="0" distB="0" distL="0" distR="0" wp14:anchorId="3E4C7B8C" wp14:editId="114AA190">
            <wp:extent cx="2943860" cy="2207895"/>
            <wp:effectExtent l="0" t="0" r="2540" b="1905"/>
            <wp:docPr id="3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316" cy="2208237"/>
                    </a:xfrm>
                    <a:prstGeom prst="rect">
                      <a:avLst/>
                    </a:prstGeom>
                    <a:noFill/>
                    <a:ln>
                      <a:noFill/>
                    </a:ln>
                  </pic:spPr>
                </pic:pic>
              </a:graphicData>
            </a:graphic>
          </wp:inline>
        </w:drawing>
      </w:r>
    </w:p>
    <w:p w14:paraId="78D875E4" w14:textId="232F9687" w:rsidR="001D357C" w:rsidRPr="001D357C" w:rsidRDefault="0037503E" w:rsidP="001D357C">
      <w:pPr>
        <w:ind w:left="284"/>
        <w:rPr>
          <w:rFonts w:eastAsia="Arial"/>
          <w:i/>
          <w:sz w:val="22"/>
        </w:rPr>
      </w:pPr>
      <w:r w:rsidRPr="001D357C">
        <w:rPr>
          <w:i/>
          <w:sz w:val="22"/>
        </w:rPr>
        <w:t>„Die Nichtigkeit der Sünde ist als Störung und Zerstörung des Zusammenseins von Gott und Mensch, von Mensch und Mensch, von Mensch und Welt und als Spaltung des Ich konkret in der Gestalt einer Störung und Zerstörung der Beziehungen und Verhältnisse, in denen sich alles Z</w:t>
      </w:r>
      <w:r w:rsidRPr="001D357C">
        <w:rPr>
          <w:i/>
          <w:sz w:val="22"/>
        </w:rPr>
        <w:t>u</w:t>
      </w:r>
      <w:r w:rsidRPr="001D357C">
        <w:rPr>
          <w:i/>
          <w:sz w:val="22"/>
        </w:rPr>
        <w:t>sammensein vol</w:t>
      </w:r>
      <w:r w:rsidRPr="001D357C">
        <w:rPr>
          <w:i/>
          <w:sz w:val="22"/>
        </w:rPr>
        <w:t>l</w:t>
      </w:r>
      <w:r w:rsidRPr="001D357C">
        <w:rPr>
          <w:i/>
          <w:sz w:val="22"/>
        </w:rPr>
        <w:t>zieht und ohne die Seiendes nicht zu sein vermag. Wir habe</w:t>
      </w:r>
      <w:r w:rsidR="001D357C" w:rsidRPr="001D357C">
        <w:rPr>
          <w:i/>
          <w:sz w:val="22"/>
        </w:rPr>
        <w:t xml:space="preserve">n bereits erkannt: Sein heißt – </w:t>
      </w:r>
      <w:r w:rsidRPr="001D357C">
        <w:rPr>
          <w:i/>
          <w:sz w:val="22"/>
        </w:rPr>
        <w:t>in Bezi</w:t>
      </w:r>
      <w:r w:rsidRPr="001D357C">
        <w:rPr>
          <w:i/>
          <w:sz w:val="22"/>
        </w:rPr>
        <w:t>e</w:t>
      </w:r>
      <w:r w:rsidRPr="001D357C">
        <w:rPr>
          <w:i/>
          <w:sz w:val="22"/>
        </w:rPr>
        <w:t>hung sein.“</w:t>
      </w:r>
      <w:r w:rsidR="001D357C">
        <w:rPr>
          <w:i/>
          <w:sz w:val="22"/>
        </w:rPr>
        <w:t xml:space="preserve"> (Eberhard </w:t>
      </w:r>
      <w:proofErr w:type="spellStart"/>
      <w:r w:rsidR="001D357C">
        <w:rPr>
          <w:i/>
          <w:sz w:val="22"/>
        </w:rPr>
        <w:t>Jüngel</w:t>
      </w:r>
      <w:proofErr w:type="spellEnd"/>
      <w:r w:rsidRPr="001D357C">
        <w:rPr>
          <w:rStyle w:val="Funotenzeichen"/>
          <w:i/>
          <w:sz w:val="22"/>
        </w:rPr>
        <w:footnoteReference w:id="16"/>
      </w:r>
      <w:r w:rsidR="001D357C">
        <w:rPr>
          <w:i/>
          <w:sz w:val="22"/>
        </w:rPr>
        <w:t>)</w:t>
      </w:r>
      <w:r w:rsidRPr="001D357C">
        <w:rPr>
          <w:i/>
          <w:sz w:val="22"/>
        </w:rPr>
        <w:t xml:space="preserve"> </w:t>
      </w:r>
    </w:p>
    <w:p w14:paraId="57B1490A" w14:textId="7724CB14" w:rsidR="0037503E" w:rsidRPr="001D357C" w:rsidRDefault="0037503E" w:rsidP="001D357C">
      <w:pPr>
        <w:ind w:left="284"/>
        <w:rPr>
          <w:rFonts w:eastAsia="Arial"/>
          <w:i/>
          <w:sz w:val="22"/>
        </w:rPr>
      </w:pPr>
      <w:r w:rsidRPr="001D357C">
        <w:rPr>
          <w:i/>
          <w:sz w:val="22"/>
        </w:rPr>
        <w:t>„‚Lebendige Seele’ hat Beziehungs-Bedarf. Beziehungs-Fähigkeit ist gleichbedeutend mit L</w:t>
      </w:r>
      <w:r w:rsidRPr="001D357C">
        <w:rPr>
          <w:i/>
          <w:sz w:val="22"/>
        </w:rPr>
        <w:t>e</w:t>
      </w:r>
      <w:r w:rsidRPr="001D357C">
        <w:rPr>
          <w:i/>
          <w:sz w:val="22"/>
        </w:rPr>
        <w:t>bens-Fähigkeit. Beziehungs-Mangel gefährdet die Seele. Beziehungs-Verlust führt sie in die Krise. Bezi</w:t>
      </w:r>
      <w:r w:rsidRPr="001D357C">
        <w:rPr>
          <w:i/>
          <w:sz w:val="22"/>
        </w:rPr>
        <w:t>e</w:t>
      </w:r>
      <w:r w:rsidRPr="001D357C">
        <w:rPr>
          <w:i/>
          <w:sz w:val="22"/>
        </w:rPr>
        <w:t>hungs-Störungen kränken die Seele und bringen dementsprechend, je nach Schweregrad, das L</w:t>
      </w:r>
      <w:r w:rsidRPr="001D357C">
        <w:rPr>
          <w:i/>
          <w:sz w:val="22"/>
        </w:rPr>
        <w:t>e</w:t>
      </w:r>
      <w:r w:rsidRPr="001D357C">
        <w:rPr>
          <w:i/>
          <w:sz w:val="22"/>
        </w:rPr>
        <w:t>ben an seine Nulllinie heran.“</w:t>
      </w:r>
      <w:r w:rsidRPr="001D357C">
        <w:rPr>
          <w:rStyle w:val="Funotenzeichen"/>
          <w:i/>
          <w:sz w:val="22"/>
        </w:rPr>
        <w:footnoteReference w:id="17"/>
      </w:r>
    </w:p>
    <w:p w14:paraId="598FC031" w14:textId="53B91B5D" w:rsidR="001D357C" w:rsidRDefault="001D357C" w:rsidP="001D357C">
      <w:pPr>
        <w:jc w:val="center"/>
        <w:rPr>
          <w:rFonts w:eastAsia="Arial"/>
        </w:rPr>
      </w:pPr>
      <w:r w:rsidRPr="001D357C">
        <w:rPr>
          <w:rFonts w:eastAsia="Arial"/>
        </w:rPr>
        <w:drawing>
          <wp:inline distT="0" distB="0" distL="0" distR="0" wp14:anchorId="7E62D04C" wp14:editId="48B8E93C">
            <wp:extent cx="2754842" cy="2066132"/>
            <wp:effectExtent l="0" t="0" r="0" b="0"/>
            <wp:docPr id="3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4842" cy="2066132"/>
                    </a:xfrm>
                    <a:prstGeom prst="rect">
                      <a:avLst/>
                    </a:prstGeom>
                    <a:noFill/>
                    <a:ln>
                      <a:noFill/>
                    </a:ln>
                  </pic:spPr>
                </pic:pic>
              </a:graphicData>
            </a:graphic>
          </wp:inline>
        </w:drawing>
      </w:r>
    </w:p>
    <w:p w14:paraId="474BD7F4" w14:textId="77777777" w:rsidR="0037503E" w:rsidRPr="001D357C" w:rsidRDefault="0037503E" w:rsidP="0037503E">
      <w:pPr>
        <w:rPr>
          <w:rFonts w:eastAsia="Arial"/>
          <w:sz w:val="22"/>
        </w:rPr>
      </w:pPr>
      <w:r w:rsidRPr="001D357C">
        <w:rPr>
          <w:rFonts w:eastAsia="Arial"/>
          <w:sz w:val="22"/>
        </w:rPr>
        <w:t xml:space="preserve">Jede Beziehung des Menschen hat </w:t>
      </w:r>
      <w:r w:rsidRPr="001D357C">
        <w:rPr>
          <w:rFonts w:eastAsia="Arial"/>
          <w:bCs/>
          <w:iCs/>
          <w:sz w:val="22"/>
        </w:rPr>
        <w:t>seither mit diesen Entfremdungen zu tun</w:t>
      </w:r>
      <w:r w:rsidRPr="001D357C">
        <w:rPr>
          <w:rFonts w:eastAsia="Arial"/>
          <w:sz w:val="22"/>
        </w:rPr>
        <w:t>. Seelsorge wird jetzt erst recht notwendig und versucht, dem gefallenen Menschen in jeder Beziehung be</w:t>
      </w:r>
      <w:r w:rsidRPr="001D357C">
        <w:rPr>
          <w:rFonts w:eastAsia="Arial"/>
          <w:sz w:val="22"/>
        </w:rPr>
        <w:t>i</w:t>
      </w:r>
      <w:r w:rsidRPr="001D357C">
        <w:rPr>
          <w:rFonts w:eastAsia="Arial"/>
          <w:sz w:val="22"/>
        </w:rPr>
        <w:t>zustehen und ihn zu begleiten. Sünde äußert sich ja in vielfachen Beziehungsn</w:t>
      </w:r>
      <w:r w:rsidRPr="001D357C">
        <w:rPr>
          <w:rFonts w:eastAsia="Arial"/>
          <w:sz w:val="22"/>
        </w:rPr>
        <w:t>ö</w:t>
      </w:r>
      <w:r w:rsidRPr="001D357C">
        <w:rPr>
          <w:rFonts w:eastAsia="Arial"/>
          <w:sz w:val="22"/>
        </w:rPr>
        <w:t>ten.</w:t>
      </w:r>
      <w:r w:rsidRPr="001D357C">
        <w:rPr>
          <w:rStyle w:val="Funotenzeichen"/>
          <w:rFonts w:eastAsia="Arial"/>
          <w:sz w:val="22"/>
        </w:rPr>
        <w:footnoteReference w:id="18"/>
      </w:r>
      <w:r w:rsidRPr="001D357C">
        <w:rPr>
          <w:rStyle w:val="Funotenzeichen"/>
          <w:rFonts w:eastAsia="Arial"/>
          <w:sz w:val="22"/>
        </w:rPr>
        <w:t xml:space="preserve"> </w:t>
      </w:r>
    </w:p>
    <w:p w14:paraId="1A2BEA0C" w14:textId="77777777" w:rsidR="001D357C" w:rsidRDefault="0037503E" w:rsidP="001D357C">
      <w:pPr>
        <w:ind w:left="284"/>
        <w:rPr>
          <w:rFonts w:eastAsia="Arial"/>
        </w:rPr>
      </w:pPr>
      <w:r w:rsidRPr="001D357C">
        <w:rPr>
          <w:rFonts w:eastAsia="Arial"/>
          <w:i/>
          <w:sz w:val="22"/>
        </w:rPr>
        <w:t>„Beziehungen sind Leben; Beziehungslosigkeit hingegen ist tödlich.“</w:t>
      </w:r>
      <w:r w:rsidR="001D357C" w:rsidRPr="001D357C">
        <w:rPr>
          <w:rFonts w:eastAsia="Arial"/>
          <w:i/>
          <w:sz w:val="22"/>
        </w:rPr>
        <w:t xml:space="preserve"> (Paul M. </w:t>
      </w:r>
      <w:proofErr w:type="spellStart"/>
      <w:r w:rsidR="001D357C" w:rsidRPr="001D357C">
        <w:rPr>
          <w:rFonts w:eastAsia="Arial"/>
          <w:i/>
          <w:sz w:val="22"/>
        </w:rPr>
        <w:t>Zulehner</w:t>
      </w:r>
      <w:proofErr w:type="spellEnd"/>
      <w:r w:rsidRPr="001D357C">
        <w:rPr>
          <w:rStyle w:val="Funotenzeichen"/>
          <w:rFonts w:eastAsia="Arial"/>
          <w:i/>
          <w:sz w:val="22"/>
        </w:rPr>
        <w:footnoteReference w:id="19"/>
      </w:r>
      <w:r w:rsidR="001D357C" w:rsidRPr="001D357C">
        <w:rPr>
          <w:rFonts w:eastAsia="Arial"/>
          <w:i/>
          <w:sz w:val="22"/>
        </w:rPr>
        <w:t>)</w:t>
      </w:r>
      <w:r>
        <w:rPr>
          <w:rFonts w:eastAsia="Arial"/>
        </w:rPr>
        <w:t xml:space="preserve"> </w:t>
      </w:r>
    </w:p>
    <w:p w14:paraId="259E93DF" w14:textId="5669E0A6" w:rsidR="001D357C" w:rsidRDefault="001D357C" w:rsidP="001D357C">
      <w:pPr>
        <w:jc w:val="center"/>
        <w:rPr>
          <w:rFonts w:eastAsia="Arial"/>
        </w:rPr>
      </w:pPr>
      <w:r w:rsidRPr="001D357C">
        <w:rPr>
          <w:rFonts w:eastAsia="Arial"/>
        </w:rPr>
        <w:drawing>
          <wp:inline distT="0" distB="0" distL="0" distR="0" wp14:anchorId="0646AA0D" wp14:editId="7EE41567">
            <wp:extent cx="3276883" cy="2457662"/>
            <wp:effectExtent l="0" t="0" r="0" b="6350"/>
            <wp:docPr id="3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7900" cy="2458425"/>
                    </a:xfrm>
                    <a:prstGeom prst="rect">
                      <a:avLst/>
                    </a:prstGeom>
                    <a:noFill/>
                    <a:ln>
                      <a:noFill/>
                    </a:ln>
                  </pic:spPr>
                </pic:pic>
              </a:graphicData>
            </a:graphic>
          </wp:inline>
        </w:drawing>
      </w:r>
      <w:r w:rsidRPr="001D357C">
        <w:rPr>
          <w:rStyle w:val="Funotenzeichen"/>
          <w:rFonts w:eastAsia="Arial"/>
          <w:sz w:val="22"/>
        </w:rPr>
        <w:footnoteReference w:id="20"/>
      </w:r>
    </w:p>
    <w:p w14:paraId="7A065D9B" w14:textId="3AC19F08" w:rsidR="005A5A11" w:rsidRPr="005A5A11" w:rsidRDefault="005A5A11" w:rsidP="0037503E">
      <w:pPr>
        <w:rPr>
          <w:rFonts w:eastAsia="Arial"/>
          <w:b/>
          <w:sz w:val="22"/>
        </w:rPr>
      </w:pPr>
      <w:r w:rsidRPr="005A5A11">
        <w:rPr>
          <w:rFonts w:eastAsia="Arial"/>
          <w:b/>
          <w:sz w:val="22"/>
        </w:rPr>
        <w:t xml:space="preserve">Für die Seelsorge ergeben sich zwei Folgerungen: </w:t>
      </w:r>
    </w:p>
    <w:p w14:paraId="1D31C223" w14:textId="0877F186" w:rsidR="0037503E" w:rsidRPr="005A5A11" w:rsidRDefault="0037503E" w:rsidP="005A5A11">
      <w:pPr>
        <w:pStyle w:val="Listenabsatz"/>
        <w:numPr>
          <w:ilvl w:val="0"/>
          <w:numId w:val="21"/>
        </w:numPr>
        <w:rPr>
          <w:sz w:val="22"/>
        </w:rPr>
      </w:pPr>
      <w:r w:rsidRPr="005A5A11">
        <w:rPr>
          <w:sz w:val="22"/>
        </w:rPr>
        <w:t xml:space="preserve">Das Wesen der Sünde ist </w:t>
      </w:r>
      <w:r w:rsidRPr="005A5A11">
        <w:rPr>
          <w:bCs/>
          <w:iCs/>
          <w:sz w:val="22"/>
        </w:rPr>
        <w:t>nicht Moral</w:t>
      </w:r>
      <w:r w:rsidRPr="005A5A11">
        <w:rPr>
          <w:sz w:val="22"/>
        </w:rPr>
        <w:t>. Es ist ein „Herzensproblem“</w:t>
      </w:r>
      <w:r w:rsidR="005A5A11" w:rsidRPr="005A5A11">
        <w:rPr>
          <w:sz w:val="22"/>
        </w:rPr>
        <w:t>.</w:t>
      </w:r>
      <w:r w:rsidRPr="005A5A11">
        <w:rPr>
          <w:rStyle w:val="Funotenzeichen"/>
          <w:sz w:val="22"/>
        </w:rPr>
        <w:footnoteReference w:id="21"/>
      </w:r>
    </w:p>
    <w:p w14:paraId="18F188AB" w14:textId="380810CC" w:rsidR="0037503E" w:rsidRPr="005A5A11" w:rsidRDefault="0037503E" w:rsidP="005A5A11">
      <w:pPr>
        <w:pStyle w:val="Listenabsatz"/>
        <w:numPr>
          <w:ilvl w:val="0"/>
          <w:numId w:val="21"/>
        </w:numPr>
        <w:rPr>
          <w:sz w:val="22"/>
        </w:rPr>
      </w:pPr>
      <w:r w:rsidRPr="005A5A11">
        <w:rPr>
          <w:sz w:val="22"/>
        </w:rPr>
        <w:t>Seelsorge macht nüchtern. Hier begegnen uns nicht nur der Mensch, der hilfreich, edel und gut ist, sondern auch der, dessen Dichten und Trachten des böse von J</w:t>
      </w:r>
      <w:r w:rsidRPr="005A5A11">
        <w:rPr>
          <w:sz w:val="22"/>
        </w:rPr>
        <w:t>u</w:t>
      </w:r>
      <w:r w:rsidRPr="005A5A11">
        <w:rPr>
          <w:sz w:val="22"/>
        </w:rPr>
        <w:t>gend auf ist bzw. der durch die Sünde anderer zum Opfer von Lieblosi</w:t>
      </w:r>
      <w:r w:rsidR="005A5A11" w:rsidRPr="005A5A11">
        <w:rPr>
          <w:sz w:val="22"/>
        </w:rPr>
        <w:t>gkeit und L</w:t>
      </w:r>
      <w:r w:rsidR="005A5A11" w:rsidRPr="005A5A11">
        <w:rPr>
          <w:sz w:val="22"/>
        </w:rPr>
        <w:t>e</w:t>
      </w:r>
      <w:r w:rsidR="005A5A11" w:rsidRPr="005A5A11">
        <w:rPr>
          <w:sz w:val="22"/>
        </w:rPr>
        <w:t>bensminderung wird.</w:t>
      </w:r>
    </w:p>
    <w:p w14:paraId="07646269" w14:textId="77777777" w:rsidR="005A5A11" w:rsidRDefault="005A5A11" w:rsidP="0037503E">
      <w:pPr>
        <w:rPr>
          <w:rFonts w:eastAsia="Arial"/>
        </w:rPr>
      </w:pPr>
    </w:p>
    <w:p w14:paraId="31201D54" w14:textId="0F5D8059" w:rsidR="005A5A11" w:rsidRDefault="005A5A11" w:rsidP="005A5A11">
      <w:pPr>
        <w:jc w:val="center"/>
        <w:rPr>
          <w:rFonts w:eastAsia="Arial"/>
        </w:rPr>
      </w:pPr>
      <w:r w:rsidRPr="005A5A11">
        <w:rPr>
          <w:rFonts w:eastAsia="Arial"/>
        </w:rPr>
        <w:drawing>
          <wp:inline distT="0" distB="0" distL="0" distR="0" wp14:anchorId="18C50909" wp14:editId="0DFFB881">
            <wp:extent cx="2615142" cy="1961357"/>
            <wp:effectExtent l="0" t="0" r="1270" b="0"/>
            <wp:docPr id="3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5142" cy="1961357"/>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A5A11" w14:paraId="1F737C37" w14:textId="77777777" w:rsidTr="005A5A11">
        <w:tc>
          <w:tcPr>
            <w:tcW w:w="4606" w:type="dxa"/>
          </w:tcPr>
          <w:p w14:paraId="3D6FD8D7" w14:textId="7FC634DF" w:rsidR="005A5A11" w:rsidRDefault="005A5A11" w:rsidP="005A5A11">
            <w:pPr>
              <w:jc w:val="center"/>
              <w:rPr>
                <w:rFonts w:eastAsia="Arial"/>
              </w:rPr>
            </w:pPr>
            <w:r w:rsidRPr="005A5A11">
              <w:rPr>
                <w:rFonts w:eastAsia="Arial"/>
              </w:rPr>
              <w:drawing>
                <wp:inline distT="0" distB="0" distL="0" distR="0" wp14:anchorId="71E756C7" wp14:editId="0077ECF7">
                  <wp:extent cx="2655993" cy="1991995"/>
                  <wp:effectExtent l="0" t="0" r="11430" b="0"/>
                  <wp:docPr id="3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713" cy="1993285"/>
                          </a:xfrm>
                          <a:prstGeom prst="rect">
                            <a:avLst/>
                          </a:prstGeom>
                          <a:noFill/>
                          <a:ln>
                            <a:noFill/>
                          </a:ln>
                        </pic:spPr>
                      </pic:pic>
                    </a:graphicData>
                  </a:graphic>
                </wp:inline>
              </w:drawing>
            </w:r>
          </w:p>
        </w:tc>
        <w:tc>
          <w:tcPr>
            <w:tcW w:w="4606" w:type="dxa"/>
          </w:tcPr>
          <w:p w14:paraId="06DE7678" w14:textId="5C9BAAD2" w:rsidR="005A5A11" w:rsidRDefault="005A5A11" w:rsidP="005A5A11">
            <w:pPr>
              <w:jc w:val="center"/>
              <w:rPr>
                <w:rFonts w:eastAsia="Arial"/>
              </w:rPr>
            </w:pPr>
            <w:r w:rsidRPr="005A5A11">
              <w:rPr>
                <w:rFonts w:eastAsia="Arial"/>
              </w:rPr>
              <w:drawing>
                <wp:inline distT="0" distB="0" distL="0" distR="0" wp14:anchorId="5AF5163A" wp14:editId="2179A70C">
                  <wp:extent cx="2682028" cy="2011521"/>
                  <wp:effectExtent l="0" t="0" r="10795" b="0"/>
                  <wp:docPr id="4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950" cy="2012212"/>
                          </a:xfrm>
                          <a:prstGeom prst="rect">
                            <a:avLst/>
                          </a:prstGeom>
                          <a:noFill/>
                          <a:ln>
                            <a:noFill/>
                          </a:ln>
                        </pic:spPr>
                      </pic:pic>
                    </a:graphicData>
                  </a:graphic>
                </wp:inline>
              </w:drawing>
            </w:r>
          </w:p>
        </w:tc>
      </w:tr>
    </w:tbl>
    <w:p w14:paraId="4B4D608E" w14:textId="77777777" w:rsidR="005A5A11" w:rsidRDefault="005A5A11" w:rsidP="0037503E">
      <w:pPr>
        <w:pStyle w:val="berschrift3"/>
        <w:rPr>
          <w:rFonts w:eastAsia="Arial"/>
        </w:rPr>
      </w:pPr>
      <w:bookmarkStart w:id="3" w:name="_Toc179357584"/>
    </w:p>
    <w:p w14:paraId="604E85AC" w14:textId="77777777" w:rsidR="0037503E" w:rsidRPr="005A5A11" w:rsidRDefault="0037503E" w:rsidP="0037503E">
      <w:pPr>
        <w:pStyle w:val="berschrift3"/>
        <w:rPr>
          <w:rFonts w:eastAsia="Arial"/>
          <w:sz w:val="22"/>
        </w:rPr>
      </w:pPr>
      <w:r w:rsidRPr="005A5A11">
        <w:rPr>
          <w:rFonts w:eastAsia="Arial"/>
          <w:sz w:val="22"/>
        </w:rPr>
        <w:t>2.3.3 Durch Christus versöhnt und zum Glauben berufen</w:t>
      </w:r>
      <w:bookmarkEnd w:id="3"/>
    </w:p>
    <w:p w14:paraId="3F6B0568" w14:textId="77777777" w:rsidR="0037503E" w:rsidRPr="005A5A11" w:rsidRDefault="0037503E" w:rsidP="005A5A11">
      <w:pPr>
        <w:ind w:left="284"/>
        <w:rPr>
          <w:i/>
          <w:sz w:val="22"/>
        </w:rPr>
      </w:pPr>
      <w:r w:rsidRPr="005A5A11">
        <w:rPr>
          <w:i/>
          <w:sz w:val="22"/>
        </w:rPr>
        <w:t>„Gott war in Christus und versöhnte die Welt mit sich selber und rechnete ihnen ihre Sünden nicht zu und hat unter uns aufgerichtet das Wort von der Versöhnung. So sind wir nun Botschafter an Christi Statt, denn Gott ermahnt durch uns; so bitten wir nun an Christi Statt: Lasst Euch versöhnen mit Gott. Denn er hat den, der von keiner Sünde wusste, für uns zur Sünde gemacht, damit wir in ihm die G</w:t>
      </w:r>
      <w:r w:rsidRPr="005A5A11">
        <w:rPr>
          <w:i/>
          <w:sz w:val="22"/>
        </w:rPr>
        <w:t>e</w:t>
      </w:r>
      <w:r w:rsidRPr="005A5A11">
        <w:rPr>
          <w:i/>
          <w:sz w:val="22"/>
        </w:rPr>
        <w:t>rechtigkeit würden, die vor Gott gilt“ (2 Kor 5,19-21)</w:t>
      </w:r>
    </w:p>
    <w:p w14:paraId="4FF49035" w14:textId="66D96F83" w:rsidR="00105EA9" w:rsidRDefault="00105EA9" w:rsidP="00105EA9">
      <w:pPr>
        <w:jc w:val="center"/>
        <w:rPr>
          <w:rFonts w:eastAsia="Arial"/>
        </w:rPr>
      </w:pPr>
      <w:r w:rsidRPr="00105EA9">
        <w:rPr>
          <w:rFonts w:eastAsia="Arial"/>
        </w:rPr>
        <w:drawing>
          <wp:inline distT="0" distB="0" distL="0" distR="0" wp14:anchorId="40226C71" wp14:editId="0B2E25A8">
            <wp:extent cx="2824692" cy="2118519"/>
            <wp:effectExtent l="0" t="0" r="0" b="0"/>
            <wp:docPr id="4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4692" cy="2118519"/>
                    </a:xfrm>
                    <a:prstGeom prst="rect">
                      <a:avLst/>
                    </a:prstGeom>
                    <a:noFill/>
                    <a:ln>
                      <a:noFill/>
                    </a:ln>
                  </pic:spPr>
                </pic:pic>
              </a:graphicData>
            </a:graphic>
          </wp:inline>
        </w:drawing>
      </w:r>
    </w:p>
    <w:p w14:paraId="07BB2C2B" w14:textId="32BF8044" w:rsidR="0037503E" w:rsidRPr="00A67BAA" w:rsidRDefault="0037503E" w:rsidP="0037503E">
      <w:pPr>
        <w:rPr>
          <w:rFonts w:eastAsia="Arial"/>
          <w:sz w:val="22"/>
        </w:rPr>
      </w:pPr>
      <w:r w:rsidRPr="00A67BAA">
        <w:rPr>
          <w:rFonts w:eastAsia="Arial"/>
          <w:sz w:val="22"/>
        </w:rPr>
        <w:t>Es bleibt als nicht bei der Geduld Gottes, die auch dem Menschen und der Welt jenseits von Eden gilt, so dass Gott über Bösen und Guten die Sonne aufgehen lässt und Regen spendet (</w:t>
      </w:r>
      <w:proofErr w:type="spellStart"/>
      <w:r w:rsidRPr="00A67BAA">
        <w:rPr>
          <w:rFonts w:eastAsia="Arial"/>
          <w:sz w:val="22"/>
        </w:rPr>
        <w:t>Mt</w:t>
      </w:r>
      <w:proofErr w:type="spellEnd"/>
      <w:r w:rsidRPr="00A67BAA">
        <w:rPr>
          <w:rFonts w:eastAsia="Arial"/>
          <w:sz w:val="22"/>
        </w:rPr>
        <w:t xml:space="preserve"> 5,45). Gott hat eine weitergehende Mission: Er will die Ursprungsbeziehung wiederherstellen, den Me</w:t>
      </w:r>
      <w:r w:rsidRPr="00A67BAA">
        <w:rPr>
          <w:rFonts w:eastAsia="Arial"/>
          <w:sz w:val="22"/>
        </w:rPr>
        <w:t>n</w:t>
      </w:r>
      <w:r w:rsidRPr="00A67BAA">
        <w:rPr>
          <w:rFonts w:eastAsia="Arial"/>
          <w:sz w:val="22"/>
        </w:rPr>
        <w:t>schen mit sich versöhnen und so endlich alle Beziehungen erneuern. Seine Mission ist versöhnende Sorge für den Menschen als entfremdete Seele. Das alles ist Inhalt und Botschaft des Evangeliums: Versö</w:t>
      </w:r>
      <w:r w:rsidRPr="00A67BAA">
        <w:rPr>
          <w:rFonts w:eastAsia="Arial"/>
          <w:sz w:val="22"/>
        </w:rPr>
        <w:t>h</w:t>
      </w:r>
      <w:r w:rsidRPr="00A67BAA">
        <w:rPr>
          <w:rFonts w:eastAsia="Arial"/>
          <w:sz w:val="22"/>
        </w:rPr>
        <w:t xml:space="preserve">nung der Welt mit Gott, Gottes gemeinschaftsgemäßes Tun – seine </w:t>
      </w:r>
      <w:proofErr w:type="spellStart"/>
      <w:r w:rsidRPr="00A67BAA">
        <w:rPr>
          <w:rFonts w:ascii="Bwhebb" w:eastAsia="Arial" w:hAnsi="Bwhebb"/>
          <w:sz w:val="22"/>
        </w:rPr>
        <w:t>hqdc</w:t>
      </w:r>
      <w:proofErr w:type="spellEnd"/>
      <w:r w:rsidRPr="00A67BAA">
        <w:rPr>
          <w:rFonts w:ascii="Bwhebb" w:eastAsia="Arial" w:hAnsi="Bwhebb"/>
          <w:sz w:val="22"/>
        </w:rPr>
        <w:t xml:space="preserve"> </w:t>
      </w:r>
      <w:r w:rsidRPr="00A67BAA">
        <w:rPr>
          <w:rFonts w:eastAsia="Arial"/>
          <w:sz w:val="22"/>
        </w:rPr>
        <w:t>(</w:t>
      </w:r>
      <w:proofErr w:type="spellStart"/>
      <w:r w:rsidRPr="00A67BAA">
        <w:rPr>
          <w:rFonts w:eastAsia="Arial"/>
          <w:sz w:val="22"/>
        </w:rPr>
        <w:t>Zedakah</w:t>
      </w:r>
      <w:proofErr w:type="spellEnd"/>
      <w:r w:rsidRPr="00A67BAA">
        <w:rPr>
          <w:rFonts w:eastAsia="Arial"/>
          <w:sz w:val="22"/>
        </w:rPr>
        <w:t>, Gerechti</w:t>
      </w:r>
      <w:r w:rsidRPr="00A67BAA">
        <w:rPr>
          <w:rFonts w:eastAsia="Arial"/>
          <w:sz w:val="22"/>
        </w:rPr>
        <w:t>g</w:t>
      </w:r>
      <w:r w:rsidRPr="00A67BAA">
        <w:rPr>
          <w:rFonts w:eastAsia="Arial"/>
          <w:sz w:val="22"/>
        </w:rPr>
        <w:t>keit).</w:t>
      </w:r>
    </w:p>
    <w:p w14:paraId="2FF78FCA" w14:textId="78A19E62" w:rsidR="00105EA9" w:rsidRPr="00A67BAA" w:rsidRDefault="0037503E" w:rsidP="0037503E">
      <w:pPr>
        <w:rPr>
          <w:rFonts w:eastAsia="Arial"/>
          <w:sz w:val="22"/>
        </w:rPr>
      </w:pPr>
      <w:r w:rsidRPr="00A67BAA">
        <w:rPr>
          <w:rFonts w:eastAsia="Arial"/>
          <w:sz w:val="22"/>
        </w:rPr>
        <w:t xml:space="preserve">Das ist die umfassende </w:t>
      </w:r>
      <w:proofErr w:type="spellStart"/>
      <w:r w:rsidRPr="00A67BAA">
        <w:rPr>
          <w:rFonts w:ascii="Bwgrkl" w:eastAsia="Arial" w:hAnsi="Bwgrkl"/>
          <w:sz w:val="22"/>
        </w:rPr>
        <w:t>diakoni,a</w:t>
      </w:r>
      <w:proofErr w:type="spellEnd"/>
      <w:r w:rsidRPr="00A67BAA">
        <w:rPr>
          <w:rFonts w:ascii="Bwgrkl" w:eastAsia="Arial" w:hAnsi="Bwgrkl"/>
          <w:sz w:val="22"/>
        </w:rPr>
        <w:t xml:space="preserve"> </w:t>
      </w:r>
      <w:r w:rsidRPr="00A67BAA">
        <w:rPr>
          <w:rFonts w:eastAsia="Arial"/>
          <w:sz w:val="22"/>
        </w:rPr>
        <w:t>(</w:t>
      </w:r>
      <w:proofErr w:type="spellStart"/>
      <w:r w:rsidRPr="00A67BAA">
        <w:rPr>
          <w:rFonts w:eastAsia="Arial"/>
          <w:sz w:val="22"/>
        </w:rPr>
        <w:t>Diakonia</w:t>
      </w:r>
      <w:proofErr w:type="spellEnd"/>
      <w:r w:rsidRPr="00A67BAA">
        <w:rPr>
          <w:rFonts w:eastAsia="Arial"/>
          <w:sz w:val="22"/>
        </w:rPr>
        <w:t>, Dienst), das „Amt“, das die Versöhnung predigt“ (2 Kor 5,18), auch in der Seelsorge. Das</w:t>
      </w:r>
      <w:r w:rsidR="00105EA9" w:rsidRPr="00A67BAA">
        <w:rPr>
          <w:rFonts w:eastAsia="Arial"/>
          <w:sz w:val="22"/>
        </w:rPr>
        <w:t xml:space="preserve"> bedeutet: </w:t>
      </w:r>
      <w:r w:rsidRPr="00A67BAA">
        <w:rPr>
          <w:rFonts w:eastAsia="Arial"/>
          <w:sz w:val="22"/>
        </w:rPr>
        <w:t>Das entscheidende Ziel der Seelsorge ist Versö</w:t>
      </w:r>
      <w:r w:rsidRPr="00A67BAA">
        <w:rPr>
          <w:rFonts w:eastAsia="Arial"/>
          <w:sz w:val="22"/>
        </w:rPr>
        <w:t>h</w:t>
      </w:r>
      <w:r w:rsidRPr="00A67BAA">
        <w:rPr>
          <w:rFonts w:eastAsia="Arial"/>
          <w:sz w:val="22"/>
        </w:rPr>
        <w:t>nung. Darin begegnen sich tatsäc</w:t>
      </w:r>
      <w:r w:rsidRPr="00A67BAA">
        <w:rPr>
          <w:rFonts w:eastAsia="Arial"/>
          <w:sz w:val="22"/>
        </w:rPr>
        <w:t>h</w:t>
      </w:r>
      <w:r w:rsidRPr="00A67BAA">
        <w:rPr>
          <w:rFonts w:eastAsia="Arial"/>
          <w:sz w:val="22"/>
        </w:rPr>
        <w:t>lich Mission und Seelsorge.</w:t>
      </w:r>
    </w:p>
    <w:p w14:paraId="23C3F7EE" w14:textId="162F6F7C" w:rsidR="00105EA9" w:rsidRPr="00105EA9" w:rsidRDefault="0037503E" w:rsidP="00105EA9">
      <w:pPr>
        <w:ind w:left="284"/>
        <w:rPr>
          <w:rFonts w:eastAsia="Arial"/>
          <w:i/>
          <w:sz w:val="22"/>
        </w:rPr>
      </w:pPr>
      <w:r w:rsidRPr="00105EA9">
        <w:rPr>
          <w:rFonts w:eastAsia="Arial"/>
          <w:i/>
          <w:sz w:val="22"/>
        </w:rPr>
        <w:t>„Mit der Beziehung zu Gott ordnet sich auch die Beziehung zum Mitgeschöpf und zu sich selbst neu.“</w:t>
      </w:r>
      <w:r w:rsidR="00105EA9">
        <w:rPr>
          <w:rFonts w:eastAsia="Arial"/>
          <w:i/>
          <w:sz w:val="22"/>
        </w:rPr>
        <w:t xml:space="preserve"> (W. Härle</w:t>
      </w:r>
      <w:r w:rsidRPr="00105EA9">
        <w:rPr>
          <w:rStyle w:val="Funotenzeichen"/>
          <w:rFonts w:eastAsia="Arial"/>
          <w:i/>
          <w:sz w:val="22"/>
        </w:rPr>
        <w:footnoteReference w:id="22"/>
      </w:r>
      <w:r w:rsidR="00105EA9">
        <w:rPr>
          <w:rFonts w:eastAsia="Arial"/>
          <w:i/>
          <w:sz w:val="22"/>
        </w:rPr>
        <w:t>)</w:t>
      </w:r>
      <w:r w:rsidRPr="00105EA9">
        <w:rPr>
          <w:rStyle w:val="Funotenzeichen"/>
          <w:rFonts w:eastAsia="Arial"/>
          <w:i/>
          <w:sz w:val="22"/>
        </w:rPr>
        <w:t xml:space="preserve"> </w:t>
      </w:r>
    </w:p>
    <w:p w14:paraId="7CB10461" w14:textId="40C9E2B7" w:rsidR="00105EA9" w:rsidRDefault="00105EA9" w:rsidP="00617EF9">
      <w:pPr>
        <w:jc w:val="center"/>
        <w:rPr>
          <w:rFonts w:eastAsia="Arial"/>
        </w:rPr>
      </w:pPr>
      <w:r w:rsidRPr="00105EA9">
        <w:rPr>
          <w:rFonts w:eastAsia="Arial"/>
        </w:rPr>
        <w:drawing>
          <wp:inline distT="0" distB="0" distL="0" distR="0" wp14:anchorId="692BD07F" wp14:editId="634E7EE8">
            <wp:extent cx="2729371" cy="2047028"/>
            <wp:effectExtent l="0" t="0" r="0" b="10795"/>
            <wp:docPr id="4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968" cy="2047476"/>
                    </a:xfrm>
                    <a:prstGeom prst="rect">
                      <a:avLst/>
                    </a:prstGeom>
                    <a:noFill/>
                    <a:ln>
                      <a:noFill/>
                    </a:ln>
                  </pic:spPr>
                </pic:pic>
              </a:graphicData>
            </a:graphic>
          </wp:inline>
        </w:drawing>
      </w:r>
    </w:p>
    <w:p w14:paraId="1F3032E6" w14:textId="77777777" w:rsidR="0037503E" w:rsidRPr="00617EF9" w:rsidRDefault="0037503E" w:rsidP="00617EF9">
      <w:pPr>
        <w:spacing w:after="120"/>
        <w:rPr>
          <w:sz w:val="22"/>
        </w:rPr>
      </w:pPr>
      <w:r w:rsidRPr="00617EF9">
        <w:rPr>
          <w:sz w:val="22"/>
        </w:rPr>
        <w:t xml:space="preserve">Die </w:t>
      </w:r>
      <w:r w:rsidRPr="00617EF9">
        <w:rPr>
          <w:iCs/>
          <w:sz w:val="22"/>
        </w:rPr>
        <w:t>Christusbeziehung</w:t>
      </w:r>
      <w:r w:rsidRPr="00617EF9">
        <w:rPr>
          <w:sz w:val="22"/>
        </w:rPr>
        <w:t xml:space="preserve">, der Glaube, ist das also </w:t>
      </w:r>
      <w:r w:rsidRPr="00617EF9">
        <w:rPr>
          <w:iCs/>
          <w:sz w:val="22"/>
        </w:rPr>
        <w:t>Ziel der Seelsorge</w:t>
      </w:r>
      <w:r w:rsidRPr="00617EF9">
        <w:rPr>
          <w:sz w:val="22"/>
        </w:rPr>
        <w:t>. Die Bezeugung Christi als des He</w:t>
      </w:r>
      <w:r w:rsidRPr="00617EF9">
        <w:rPr>
          <w:sz w:val="22"/>
        </w:rPr>
        <w:t>i</w:t>
      </w:r>
      <w:r w:rsidRPr="00617EF9">
        <w:rPr>
          <w:sz w:val="22"/>
        </w:rPr>
        <w:t xml:space="preserve">lands ist das Mittel dieser Seelsorge. </w:t>
      </w:r>
      <w:r w:rsidRPr="00617EF9">
        <w:rPr>
          <w:rFonts w:eastAsia="Arial"/>
          <w:sz w:val="22"/>
        </w:rPr>
        <w:t>Das bedeutet nicht, jedes Gespräch zielgerichtet auf diesen Punkt zuzuführen. Das bedeutet nicht, dass erst dann von Seelsorge die R</w:t>
      </w:r>
      <w:r w:rsidRPr="00617EF9">
        <w:rPr>
          <w:rFonts w:eastAsia="Arial"/>
          <w:sz w:val="22"/>
        </w:rPr>
        <w:t>e</w:t>
      </w:r>
      <w:r w:rsidRPr="00617EF9">
        <w:rPr>
          <w:rFonts w:eastAsia="Arial"/>
          <w:sz w:val="22"/>
        </w:rPr>
        <w:t>de sein kann, wenn ich auch vom Glauben gesprochen habe. Vielmehr gibt es auch dafür den richt</w:t>
      </w:r>
      <w:r w:rsidRPr="00617EF9">
        <w:rPr>
          <w:rFonts w:eastAsia="Arial"/>
          <w:sz w:val="22"/>
        </w:rPr>
        <w:t>i</w:t>
      </w:r>
      <w:r w:rsidRPr="00617EF9">
        <w:rPr>
          <w:rFonts w:eastAsia="Arial"/>
          <w:sz w:val="22"/>
        </w:rPr>
        <w:t xml:space="preserve">gen Zeitpunkt, zu dem Gott eine Tür öffnet, so dass nun auch vom „Herzen aller Dinge“ die Rede sein darf, ja fast sein muss, ohne dass das sensible Gespräch mit einem Ratsuchenden missbraucht und gewaltsam umgebogen würde. </w:t>
      </w:r>
    </w:p>
    <w:p w14:paraId="1E601187" w14:textId="17BEEAA6" w:rsidR="00617EF9" w:rsidRPr="00617EF9" w:rsidRDefault="0037503E" w:rsidP="00617EF9">
      <w:pPr>
        <w:spacing w:after="120"/>
        <w:rPr>
          <w:sz w:val="22"/>
        </w:rPr>
      </w:pPr>
      <w:r w:rsidRPr="00617EF9">
        <w:rPr>
          <w:rFonts w:eastAsia="Arial"/>
          <w:sz w:val="22"/>
        </w:rPr>
        <w:t xml:space="preserve">Damit berühren wir den Aspekt einer </w:t>
      </w:r>
      <w:r w:rsidRPr="00617EF9">
        <w:rPr>
          <w:rFonts w:eastAsia="Arial"/>
          <w:bCs/>
          <w:iCs/>
          <w:sz w:val="22"/>
        </w:rPr>
        <w:t>„</w:t>
      </w:r>
      <w:proofErr w:type="spellStart"/>
      <w:r w:rsidRPr="00617EF9">
        <w:rPr>
          <w:rFonts w:eastAsia="Arial"/>
          <w:bCs/>
          <w:iCs/>
          <w:sz w:val="22"/>
        </w:rPr>
        <w:t>kairologischen</w:t>
      </w:r>
      <w:proofErr w:type="spellEnd"/>
      <w:r w:rsidRPr="00617EF9">
        <w:rPr>
          <w:rFonts w:eastAsia="Arial"/>
          <w:bCs/>
          <w:iCs/>
          <w:sz w:val="22"/>
        </w:rPr>
        <w:t xml:space="preserve"> Seelsorge.</w:t>
      </w:r>
      <w:r w:rsidRPr="00617EF9">
        <w:rPr>
          <w:rStyle w:val="Funotenzeichen"/>
          <w:rFonts w:eastAsia="Arial"/>
          <w:sz w:val="22"/>
        </w:rPr>
        <w:footnoteReference w:id="23"/>
      </w:r>
      <w:r w:rsidRPr="00617EF9">
        <w:rPr>
          <w:sz w:val="22"/>
        </w:rPr>
        <w:t xml:space="preserve"> </w:t>
      </w:r>
      <w:r w:rsidRPr="00617EF9">
        <w:rPr>
          <w:iCs/>
          <w:sz w:val="22"/>
        </w:rPr>
        <w:t>Der Kairos ist die auf die irdische, ablaufende Zeit auftreffende Gottes</w:t>
      </w:r>
      <w:r w:rsidRPr="00617EF9">
        <w:rPr>
          <w:sz w:val="22"/>
        </w:rPr>
        <w:t>zeit</w:t>
      </w:r>
      <w:r w:rsidR="007920F9">
        <w:rPr>
          <w:sz w:val="22"/>
        </w:rPr>
        <w:t>:</w:t>
      </w:r>
    </w:p>
    <w:p w14:paraId="0BC1745D" w14:textId="77777777" w:rsidR="00617EF9" w:rsidRDefault="00617EF9" w:rsidP="00617EF9">
      <w:pPr>
        <w:jc w:val="center"/>
        <w:rPr>
          <w:b/>
          <w:i/>
          <w:iCs/>
        </w:rPr>
      </w:pPr>
      <w:r w:rsidRPr="00617EF9">
        <w:rPr>
          <w:b/>
          <w:i/>
          <w:iCs/>
        </w:rPr>
        <w:drawing>
          <wp:inline distT="0" distB="0" distL="0" distR="0" wp14:anchorId="6AED5AA7" wp14:editId="45092AF3">
            <wp:extent cx="1567392" cy="1175544"/>
            <wp:effectExtent l="0" t="0" r="7620" b="0"/>
            <wp:docPr id="4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7392" cy="1175544"/>
                    </a:xfrm>
                    <a:prstGeom prst="rect">
                      <a:avLst/>
                    </a:prstGeom>
                    <a:noFill/>
                    <a:ln>
                      <a:noFill/>
                    </a:ln>
                  </pic:spPr>
                </pic:pic>
              </a:graphicData>
            </a:graphic>
          </wp:inline>
        </w:drawing>
      </w:r>
    </w:p>
    <w:p w14:paraId="5C9302B9" w14:textId="619146FD" w:rsidR="0037503E" w:rsidRPr="00617EF9" w:rsidRDefault="0037503E" w:rsidP="0037503E">
      <w:pPr>
        <w:rPr>
          <w:sz w:val="22"/>
        </w:rPr>
      </w:pPr>
      <w:r w:rsidRPr="00617EF9">
        <w:rPr>
          <w:iCs/>
          <w:sz w:val="22"/>
        </w:rPr>
        <w:t xml:space="preserve">Seelsorge ist </w:t>
      </w:r>
      <w:proofErr w:type="spellStart"/>
      <w:r w:rsidRPr="00617EF9">
        <w:rPr>
          <w:iCs/>
          <w:sz w:val="22"/>
        </w:rPr>
        <w:t>kairologische</w:t>
      </w:r>
      <w:proofErr w:type="spellEnd"/>
      <w:r w:rsidRPr="00617EF9">
        <w:rPr>
          <w:iCs/>
          <w:sz w:val="22"/>
        </w:rPr>
        <w:t xml:space="preserve"> Seelsorge.</w:t>
      </w:r>
      <w:r w:rsidRPr="00617EF9">
        <w:rPr>
          <w:sz w:val="22"/>
        </w:rPr>
        <w:t xml:space="preserve"> Der Seelsorger hat das Chri</w:t>
      </w:r>
      <w:r w:rsidRPr="00617EF9">
        <w:rPr>
          <w:sz w:val="22"/>
        </w:rPr>
        <w:t>s</w:t>
      </w:r>
      <w:r w:rsidRPr="00617EF9">
        <w:rPr>
          <w:sz w:val="22"/>
        </w:rPr>
        <w:t xml:space="preserve">tuszeugnis nicht „in der Hand“; es fällt ihm zu, wenn Gott den Kairos schenkt. </w:t>
      </w:r>
      <w:r w:rsidR="00617EF9" w:rsidRPr="00617EF9">
        <w:rPr>
          <w:sz w:val="22"/>
        </w:rPr>
        <w:t xml:space="preserve">Das heißt praktisch: </w:t>
      </w:r>
      <w:r w:rsidRPr="00617EF9">
        <w:rPr>
          <w:sz w:val="22"/>
        </w:rPr>
        <w:t>Ich bete um diesen Kairos in meinen Gesprächen. Und dann kann ich mich gelassen und ohne Leistungsdruck auf mein Gegenübe</w:t>
      </w:r>
      <w:r w:rsidR="00617EF9" w:rsidRPr="00617EF9">
        <w:rPr>
          <w:sz w:val="22"/>
        </w:rPr>
        <w:t>r einla</w:t>
      </w:r>
      <w:r w:rsidR="00617EF9" w:rsidRPr="00617EF9">
        <w:rPr>
          <w:sz w:val="22"/>
        </w:rPr>
        <w:t>s</w:t>
      </w:r>
      <w:r w:rsidR="00617EF9" w:rsidRPr="00617EF9">
        <w:rPr>
          <w:sz w:val="22"/>
        </w:rPr>
        <w:t>sen. Ich bete aber auch</w:t>
      </w:r>
      <w:r w:rsidRPr="00617EF9">
        <w:rPr>
          <w:sz w:val="22"/>
        </w:rPr>
        <w:t xml:space="preserve"> darum, dann nicht zu „kneifen“, wenn Gottes Stunde da ist und ich eigentlich tröstend oder mahnend oder zum Glauben einladend, segnend oder </w:t>
      </w:r>
      <w:proofErr w:type="spellStart"/>
      <w:r w:rsidRPr="00617EF9">
        <w:rPr>
          <w:sz w:val="22"/>
        </w:rPr>
        <w:t>fürbittend</w:t>
      </w:r>
      <w:proofErr w:type="spellEnd"/>
      <w:r w:rsidRPr="00617EF9">
        <w:rPr>
          <w:sz w:val="22"/>
        </w:rPr>
        <w:t xml:space="preserve"> von Ihm reden kön</w:t>
      </w:r>
      <w:r w:rsidRPr="00617EF9">
        <w:rPr>
          <w:sz w:val="22"/>
        </w:rPr>
        <w:t>n</w:t>
      </w:r>
      <w:r w:rsidRPr="00617EF9">
        <w:rPr>
          <w:sz w:val="22"/>
        </w:rPr>
        <w:t xml:space="preserve">te und darum auch sollte. </w:t>
      </w:r>
    </w:p>
    <w:p w14:paraId="480A7E39" w14:textId="0BEF6155" w:rsidR="0037503E" w:rsidRPr="00FE28AF" w:rsidRDefault="0037503E" w:rsidP="00FE28AF">
      <w:pPr>
        <w:spacing w:after="120"/>
        <w:rPr>
          <w:iCs/>
          <w:sz w:val="22"/>
        </w:rPr>
      </w:pPr>
      <w:r w:rsidRPr="00FE28AF">
        <w:rPr>
          <w:iCs/>
          <w:sz w:val="22"/>
        </w:rPr>
        <w:t>Versöhnte Beziehungen sind nicht nur das erhoffte Resultat der Seelso</w:t>
      </w:r>
      <w:r w:rsidRPr="00FE28AF">
        <w:rPr>
          <w:iCs/>
          <w:sz w:val="22"/>
        </w:rPr>
        <w:t>r</w:t>
      </w:r>
      <w:r w:rsidRPr="00FE28AF">
        <w:rPr>
          <w:iCs/>
          <w:sz w:val="22"/>
        </w:rPr>
        <w:t xml:space="preserve">ge, vielmehr sind heilsame, respektvolle, förderliche Beziehungen auch </w:t>
      </w:r>
      <w:r w:rsidR="00FE28AF" w:rsidRPr="00FE28AF">
        <w:rPr>
          <w:iCs/>
          <w:sz w:val="22"/>
        </w:rPr>
        <w:t>ihr</w:t>
      </w:r>
      <w:r w:rsidRPr="00FE28AF">
        <w:rPr>
          <w:iCs/>
          <w:sz w:val="22"/>
        </w:rPr>
        <w:t xml:space="preserve"> entscheidende</w:t>
      </w:r>
      <w:r w:rsidR="00FE28AF" w:rsidRPr="00FE28AF">
        <w:rPr>
          <w:iCs/>
          <w:sz w:val="22"/>
        </w:rPr>
        <w:t>s</w:t>
      </w:r>
      <w:r w:rsidRPr="00FE28AF">
        <w:rPr>
          <w:iCs/>
          <w:sz w:val="22"/>
        </w:rPr>
        <w:t xml:space="preserve"> Mittel. Wer See</w:t>
      </w:r>
      <w:r w:rsidRPr="00FE28AF">
        <w:rPr>
          <w:iCs/>
          <w:sz w:val="22"/>
        </w:rPr>
        <w:t>l</w:t>
      </w:r>
      <w:r w:rsidRPr="00FE28AF">
        <w:rPr>
          <w:iCs/>
          <w:sz w:val="22"/>
        </w:rPr>
        <w:t>sorge übt, stellt sich einem anderen als förderliches Beziehungsgegenüber auf Zeit zur Ve</w:t>
      </w:r>
      <w:r w:rsidRPr="00FE28AF">
        <w:rPr>
          <w:iCs/>
          <w:sz w:val="22"/>
        </w:rPr>
        <w:t>r</w:t>
      </w:r>
      <w:r w:rsidRPr="00FE28AF">
        <w:rPr>
          <w:iCs/>
          <w:sz w:val="22"/>
        </w:rPr>
        <w:t>fügung.</w:t>
      </w:r>
      <w:r w:rsidRPr="00FE28AF">
        <w:rPr>
          <w:rStyle w:val="Funotenzeichen"/>
          <w:sz w:val="22"/>
        </w:rPr>
        <w:footnoteReference w:id="24"/>
      </w:r>
    </w:p>
    <w:p w14:paraId="55991D35" w14:textId="77777777" w:rsidR="0037503E" w:rsidRPr="00FE28AF" w:rsidRDefault="0037503E" w:rsidP="00FE28AF">
      <w:pPr>
        <w:spacing w:after="120"/>
        <w:ind w:left="284"/>
        <w:rPr>
          <w:i/>
          <w:sz w:val="22"/>
        </w:rPr>
      </w:pPr>
      <w:r w:rsidRPr="00FE28AF">
        <w:rPr>
          <w:i/>
          <w:sz w:val="22"/>
        </w:rPr>
        <w:t>„Gestörte oder zerbrochene Beziehungen lassen sich situativ durch neue und heilsame Beziehu</w:t>
      </w:r>
      <w:r w:rsidRPr="00FE28AF">
        <w:rPr>
          <w:i/>
          <w:sz w:val="22"/>
        </w:rPr>
        <w:t>n</w:t>
      </w:r>
      <w:r w:rsidRPr="00FE28AF">
        <w:rPr>
          <w:i/>
          <w:sz w:val="22"/>
        </w:rPr>
        <w:t>gen heilen. Heilsame Beziehungen zeichnen sich aus durch gegenseitige Wertschätzung, Berei</w:t>
      </w:r>
      <w:r w:rsidRPr="00FE28AF">
        <w:rPr>
          <w:i/>
          <w:sz w:val="22"/>
        </w:rPr>
        <w:t>t</w:t>
      </w:r>
      <w:r w:rsidRPr="00FE28AF">
        <w:rPr>
          <w:i/>
          <w:sz w:val="22"/>
        </w:rPr>
        <w:t>schaft zur Einfühlung in die Situation des Anderen und zugleich durch aufrichtiges und authent</w:t>
      </w:r>
      <w:r w:rsidRPr="00FE28AF">
        <w:rPr>
          <w:i/>
          <w:sz w:val="22"/>
        </w:rPr>
        <w:t>i</w:t>
      </w:r>
      <w:r w:rsidRPr="00FE28AF">
        <w:rPr>
          <w:i/>
          <w:sz w:val="22"/>
        </w:rPr>
        <w:t>sches Verhalten. In Beziehungen mit diesen Merkmalen können Me</w:t>
      </w:r>
      <w:r w:rsidRPr="00FE28AF">
        <w:rPr>
          <w:i/>
          <w:sz w:val="22"/>
        </w:rPr>
        <w:t>n</w:t>
      </w:r>
      <w:r w:rsidRPr="00FE28AF">
        <w:rPr>
          <w:i/>
          <w:sz w:val="22"/>
        </w:rPr>
        <w:t>schen innerlich wachsen und sich entfalten. Auch Seelsorge kann solche Beziehungen anbieten. Es ist […] gerade die Qualität e</w:t>
      </w:r>
      <w:r w:rsidRPr="00FE28AF">
        <w:rPr>
          <w:i/>
          <w:sz w:val="22"/>
        </w:rPr>
        <w:t>i</w:t>
      </w:r>
      <w:r w:rsidRPr="00FE28AF">
        <w:rPr>
          <w:i/>
          <w:sz w:val="22"/>
        </w:rPr>
        <w:t>ner Beziehung, die sie heilsam sein lässt.“</w:t>
      </w:r>
      <w:r w:rsidRPr="00FE28AF">
        <w:rPr>
          <w:rStyle w:val="Funotenzeichen"/>
          <w:i/>
          <w:sz w:val="22"/>
        </w:rPr>
        <w:footnoteReference w:id="25"/>
      </w:r>
      <w:r w:rsidRPr="00FE28AF">
        <w:rPr>
          <w:i/>
          <w:sz w:val="22"/>
        </w:rPr>
        <w:t xml:space="preserve"> </w:t>
      </w:r>
    </w:p>
    <w:p w14:paraId="5EBCB8FA" w14:textId="77777777" w:rsidR="00FE28AF" w:rsidRDefault="00FE28AF" w:rsidP="0037503E">
      <w:pPr>
        <w:pStyle w:val="berschrift3"/>
        <w:rPr>
          <w:rFonts w:eastAsia="Arial"/>
        </w:rPr>
      </w:pPr>
      <w:bookmarkStart w:id="4" w:name="_Toc179357585"/>
    </w:p>
    <w:p w14:paraId="6CFEB041" w14:textId="77777777" w:rsidR="0037503E" w:rsidRPr="00FE28AF" w:rsidRDefault="0037503E" w:rsidP="0037503E">
      <w:pPr>
        <w:pStyle w:val="berschrift3"/>
        <w:rPr>
          <w:rFonts w:eastAsia="Arial"/>
          <w:sz w:val="22"/>
        </w:rPr>
      </w:pPr>
      <w:r w:rsidRPr="00FE28AF">
        <w:rPr>
          <w:rFonts w:eastAsia="Arial"/>
          <w:sz w:val="22"/>
        </w:rPr>
        <w:t>2.3.4 Fragmentarisches Leben, aber auf dem Weg zu seiner Vollendung</w:t>
      </w:r>
      <w:bookmarkEnd w:id="4"/>
    </w:p>
    <w:p w14:paraId="2372695F" w14:textId="102FF0B1" w:rsidR="004F2AE4" w:rsidRDefault="004F2AE4" w:rsidP="004F2AE4">
      <w:pPr>
        <w:jc w:val="center"/>
      </w:pPr>
      <w:r w:rsidRPr="004F2AE4">
        <w:drawing>
          <wp:inline distT="0" distB="0" distL="0" distR="0" wp14:anchorId="1D5604D9" wp14:editId="13DAF52A">
            <wp:extent cx="2909993" cy="2182495"/>
            <wp:effectExtent l="0" t="0" r="11430" b="1905"/>
            <wp:docPr id="4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665" cy="2182999"/>
                    </a:xfrm>
                    <a:prstGeom prst="rect">
                      <a:avLst/>
                    </a:prstGeom>
                    <a:noFill/>
                    <a:ln>
                      <a:noFill/>
                    </a:ln>
                  </pic:spPr>
                </pic:pic>
              </a:graphicData>
            </a:graphic>
          </wp:inline>
        </w:drawing>
      </w:r>
      <w:r w:rsidRPr="004F2AE4">
        <w:rPr>
          <w:rStyle w:val="Funotenzeichen"/>
          <w:rFonts w:eastAsia="Arial"/>
          <w:sz w:val="22"/>
        </w:rPr>
        <w:footnoteReference w:id="26"/>
      </w:r>
    </w:p>
    <w:p w14:paraId="2FB66FD6" w14:textId="77777777" w:rsidR="004F2AE4" w:rsidRDefault="004F2AE4" w:rsidP="004F2AE4">
      <w:pPr>
        <w:spacing w:line="264" w:lineRule="auto"/>
        <w:ind w:left="360"/>
        <w:jc w:val="center"/>
      </w:pPr>
      <w:r w:rsidRPr="004F2AE4">
        <w:rPr>
          <w:rFonts w:eastAsia="Arial"/>
        </w:rPr>
        <w:drawing>
          <wp:inline distT="0" distB="0" distL="0" distR="0" wp14:anchorId="42322E1F" wp14:editId="09B1C8F9">
            <wp:extent cx="2538518" cy="1903889"/>
            <wp:effectExtent l="0" t="0" r="1905" b="1270"/>
            <wp:docPr id="4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8716" cy="1904037"/>
                    </a:xfrm>
                    <a:prstGeom prst="rect">
                      <a:avLst/>
                    </a:prstGeom>
                    <a:noFill/>
                    <a:ln>
                      <a:noFill/>
                    </a:ln>
                  </pic:spPr>
                </pic:pic>
              </a:graphicData>
            </a:graphic>
          </wp:inline>
        </w:drawing>
      </w:r>
    </w:p>
    <w:p w14:paraId="5AD0F52B" w14:textId="0D0999E2" w:rsidR="0037503E" w:rsidRPr="004F2AE4" w:rsidRDefault="004F2AE4" w:rsidP="004F2AE4">
      <w:pPr>
        <w:ind w:left="284"/>
        <w:rPr>
          <w:i/>
          <w:sz w:val="22"/>
        </w:rPr>
      </w:pPr>
      <w:r>
        <w:rPr>
          <w:i/>
          <w:sz w:val="22"/>
        </w:rPr>
        <w:t>„</w:t>
      </w:r>
      <w:r w:rsidR="0037503E" w:rsidRPr="004F2AE4">
        <w:rPr>
          <w:i/>
          <w:sz w:val="22"/>
        </w:rPr>
        <w:t>Christliche Seelsorge beginnt und endet mit dem Satz: ‚Es ist noch nicht erschienen, was wir sein werden.’“</w:t>
      </w:r>
      <w:r w:rsidRPr="004F2AE4">
        <w:rPr>
          <w:i/>
          <w:sz w:val="22"/>
        </w:rPr>
        <w:t xml:space="preserve"> (1 </w:t>
      </w:r>
      <w:proofErr w:type="spellStart"/>
      <w:r w:rsidRPr="004F2AE4">
        <w:rPr>
          <w:i/>
          <w:sz w:val="22"/>
        </w:rPr>
        <w:t>Joh</w:t>
      </w:r>
      <w:proofErr w:type="spellEnd"/>
      <w:r w:rsidRPr="004F2AE4">
        <w:rPr>
          <w:i/>
          <w:sz w:val="22"/>
        </w:rPr>
        <w:t xml:space="preserve"> 3,2)</w:t>
      </w:r>
      <w:r w:rsidR="0037503E" w:rsidRPr="004F2AE4">
        <w:rPr>
          <w:i/>
          <w:sz w:val="22"/>
        </w:rPr>
        <w:t>.</w:t>
      </w:r>
      <w:r w:rsidRPr="004F2AE4">
        <w:rPr>
          <w:rStyle w:val="Funotenzeichen"/>
          <w:i/>
          <w:sz w:val="22"/>
        </w:rPr>
        <w:footnoteReference w:id="27"/>
      </w:r>
    </w:p>
    <w:p w14:paraId="69E65E8A" w14:textId="77777777" w:rsidR="0037503E" w:rsidRPr="004F2AE4" w:rsidRDefault="0037503E" w:rsidP="0037503E">
      <w:pPr>
        <w:pStyle w:val="berschrift1"/>
        <w:rPr>
          <w:sz w:val="21"/>
          <w:szCs w:val="21"/>
        </w:rPr>
      </w:pPr>
      <w:r w:rsidRPr="004F2AE4">
        <w:rPr>
          <w:sz w:val="21"/>
          <w:szCs w:val="21"/>
        </w:rPr>
        <w:fldChar w:fldCharType="begin"/>
      </w:r>
      <w:r w:rsidRPr="004F2AE4">
        <w:rPr>
          <w:sz w:val="21"/>
          <w:szCs w:val="21"/>
        </w:rPr>
        <w:instrText xml:space="preserve"> ADDIN EN.REFLIST </w:instrText>
      </w:r>
      <w:r w:rsidRPr="004F2AE4">
        <w:rPr>
          <w:sz w:val="21"/>
          <w:szCs w:val="21"/>
        </w:rPr>
        <w:fldChar w:fldCharType="separate"/>
      </w:r>
      <w:r w:rsidRPr="004F2AE4">
        <w:rPr>
          <w:sz w:val="21"/>
          <w:szCs w:val="21"/>
        </w:rPr>
        <w:t>Literaturliste</w:t>
      </w:r>
    </w:p>
    <w:p w14:paraId="2D0EE6B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Ebeling, Gerhard: </w:t>
      </w:r>
      <w:r w:rsidRPr="004F2AE4">
        <w:rPr>
          <w:i/>
          <w:noProof/>
          <w:sz w:val="21"/>
          <w:szCs w:val="21"/>
        </w:rPr>
        <w:t>Disputatio de homine. Erster Teil: Text und Traditionshintergrund</w:t>
      </w:r>
      <w:r w:rsidRPr="004F2AE4">
        <w:rPr>
          <w:noProof/>
          <w:sz w:val="21"/>
          <w:szCs w:val="21"/>
        </w:rPr>
        <w:t>. Tübingen 1977 (Lutherstudien Bd. 2)</w:t>
      </w:r>
    </w:p>
    <w:p w14:paraId="2FB6DD1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Eberhardt, Hermann: </w:t>
      </w:r>
      <w:r w:rsidRPr="004F2AE4">
        <w:rPr>
          <w:i/>
          <w:noProof/>
          <w:sz w:val="21"/>
          <w:szCs w:val="21"/>
        </w:rPr>
        <w:t>Praktische Seel-Sorge-Theologie. Entwurf einer Seelsorge-Lehre im Horizont von Bibel und Erfahrung</w:t>
      </w:r>
      <w:r w:rsidRPr="004F2AE4">
        <w:rPr>
          <w:noProof/>
          <w:sz w:val="21"/>
          <w:szCs w:val="21"/>
        </w:rPr>
        <w:t xml:space="preserve">. Bielefeld 2. überarbeitete Aufl. 1993 </w:t>
      </w:r>
    </w:p>
    <w:p w14:paraId="154D966D"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Eckstein, Hans-Joachim:  </w:t>
      </w:r>
      <w:r w:rsidRPr="004F2AE4">
        <w:rPr>
          <w:i/>
          <w:noProof/>
          <w:sz w:val="21"/>
          <w:szCs w:val="21"/>
        </w:rPr>
        <w:t>Gott ist es, der rechtfertigt. Rechtfertigung als Zentrum paulinischer Theologie?</w:t>
      </w:r>
      <w:r w:rsidRPr="004F2AE4">
        <w:rPr>
          <w:noProof/>
          <w:sz w:val="21"/>
          <w:szCs w:val="21"/>
        </w:rPr>
        <w:t xml:space="preserve"> ZNT 14 (7. Jahrgang) (2004), 41-48</w:t>
      </w:r>
    </w:p>
    <w:p w14:paraId="5C9094DC"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Fechtner, Christian: </w:t>
      </w:r>
      <w:r w:rsidRPr="004F2AE4">
        <w:rPr>
          <w:i/>
          <w:noProof/>
          <w:sz w:val="21"/>
          <w:szCs w:val="21"/>
        </w:rPr>
        <w:t>Sich nicht beruhigen lassen. Seelsorge nach Henning Luther</w:t>
      </w:r>
      <w:r w:rsidRPr="004F2AE4">
        <w:rPr>
          <w:noProof/>
          <w:sz w:val="21"/>
          <w:szCs w:val="21"/>
        </w:rPr>
        <w:t xml:space="preserve">. In: Uta Pohl-Patalong und Frank Muchlinsky (Hg.): </w:t>
      </w:r>
      <w:r w:rsidRPr="004F2AE4">
        <w:rPr>
          <w:i/>
          <w:noProof/>
          <w:sz w:val="21"/>
          <w:szCs w:val="21"/>
        </w:rPr>
        <w:t xml:space="preserve">Seelsorge im Plural. Perspektiven für ein neues Jahrhundert. </w:t>
      </w:r>
      <w:r w:rsidRPr="004F2AE4">
        <w:rPr>
          <w:noProof/>
          <w:sz w:val="21"/>
          <w:szCs w:val="21"/>
        </w:rPr>
        <w:t xml:space="preserve">Hamburg 1999, 89-101 </w:t>
      </w:r>
    </w:p>
    <w:p w14:paraId="31AB9DC8"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Gerl-Falkowitz, Hanna-Barbara:  </w:t>
      </w:r>
      <w:r w:rsidRPr="004F2AE4">
        <w:rPr>
          <w:i/>
          <w:noProof/>
          <w:sz w:val="21"/>
          <w:szCs w:val="21"/>
        </w:rPr>
        <w:t>Fließende Identität? Ein Blick auf Gender</w:t>
      </w:r>
      <w:r w:rsidRPr="004F2AE4">
        <w:rPr>
          <w:noProof/>
          <w:sz w:val="21"/>
          <w:szCs w:val="21"/>
        </w:rPr>
        <w:t>. ThBeitr 42 (2011), 342-352</w:t>
      </w:r>
    </w:p>
    <w:p w14:paraId="1FD0BDAD"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Grözinger, Albrecht: </w:t>
      </w:r>
      <w:r w:rsidRPr="004F2AE4">
        <w:rPr>
          <w:i/>
          <w:noProof/>
          <w:sz w:val="21"/>
          <w:szCs w:val="21"/>
        </w:rPr>
        <w:t>Differenz-Erfahrung. Ein Essay</w:t>
      </w:r>
      <w:r w:rsidRPr="004F2AE4">
        <w:rPr>
          <w:noProof/>
          <w:sz w:val="21"/>
          <w:szCs w:val="21"/>
        </w:rPr>
        <w:t xml:space="preserve">. Waltrop 1994 </w:t>
      </w:r>
    </w:p>
    <w:p w14:paraId="26095C48"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Guder, Darrel: </w:t>
      </w:r>
      <w:r w:rsidRPr="004F2AE4">
        <w:rPr>
          <w:i/>
          <w:noProof/>
          <w:sz w:val="21"/>
          <w:szCs w:val="21"/>
        </w:rPr>
        <w:t>Missional Church. A Vision for the Sendung of the Church in North America</w:t>
      </w:r>
      <w:r w:rsidRPr="004F2AE4">
        <w:rPr>
          <w:noProof/>
          <w:sz w:val="21"/>
          <w:szCs w:val="21"/>
        </w:rPr>
        <w:t xml:space="preserve">. Grand Rapids 1998 (The Gospel and our Culture Series </w:t>
      </w:r>
    </w:p>
    <w:p w14:paraId="5026061B" w14:textId="77777777" w:rsidR="0037503E" w:rsidRPr="004F2AE4" w:rsidRDefault="0037503E" w:rsidP="0037503E">
      <w:pPr>
        <w:pStyle w:val="EndNoteBibliography"/>
        <w:spacing w:after="0"/>
        <w:ind w:left="720" w:hanging="720"/>
        <w:rPr>
          <w:b/>
          <w:noProof/>
          <w:sz w:val="21"/>
          <w:szCs w:val="21"/>
        </w:rPr>
      </w:pPr>
      <w:r w:rsidRPr="004F2AE4">
        <w:rPr>
          <w:b/>
          <w:noProof/>
          <w:sz w:val="21"/>
          <w:szCs w:val="21"/>
        </w:rPr>
        <w:t xml:space="preserve">Härle, Wilfried: </w:t>
      </w:r>
      <w:r w:rsidRPr="004F2AE4">
        <w:rPr>
          <w:b/>
          <w:i/>
          <w:noProof/>
          <w:sz w:val="21"/>
          <w:szCs w:val="21"/>
        </w:rPr>
        <w:t>Menschsein in Beziehungen. Studien zur Rechtfertigungslehre und Anthropologie</w:t>
      </w:r>
      <w:r w:rsidRPr="004F2AE4">
        <w:rPr>
          <w:b/>
          <w:noProof/>
          <w:sz w:val="21"/>
          <w:szCs w:val="21"/>
        </w:rPr>
        <w:t xml:space="preserve">. Tübingen 2005 </w:t>
      </w:r>
    </w:p>
    <w:p w14:paraId="5DC50C61"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Hennig, Gerhard:  </w:t>
      </w:r>
      <w:r w:rsidRPr="004F2AE4">
        <w:rPr>
          <w:i/>
          <w:noProof/>
          <w:sz w:val="21"/>
          <w:szCs w:val="21"/>
        </w:rPr>
        <w:t>Wie redet die Bibel von der Seelsorge?</w:t>
      </w:r>
      <w:r w:rsidRPr="004F2AE4">
        <w:rPr>
          <w:noProof/>
          <w:sz w:val="21"/>
          <w:szCs w:val="21"/>
        </w:rPr>
        <w:t xml:space="preserve"> ThBeitr 32 (2001), 181-198</w:t>
      </w:r>
    </w:p>
    <w:p w14:paraId="6B78C585"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Herbst, Michael: </w:t>
      </w:r>
      <w:r w:rsidRPr="004F2AE4">
        <w:rPr>
          <w:i/>
          <w:noProof/>
          <w:sz w:val="21"/>
          <w:szCs w:val="21"/>
        </w:rPr>
        <w:t>"Mama, Gott hat dich in die Kirche geschoben!" Welche Konsequenzen ziehen wir aus der Studie?</w:t>
      </w:r>
      <w:r w:rsidRPr="004F2AE4">
        <w:rPr>
          <w:noProof/>
          <w:sz w:val="21"/>
          <w:szCs w:val="21"/>
        </w:rPr>
        <w:t xml:space="preserve"> In: Johannes Zimmermann und Anna-Konstanze Schröder (Hg.): </w:t>
      </w:r>
      <w:r w:rsidRPr="004F2AE4">
        <w:rPr>
          <w:i/>
          <w:noProof/>
          <w:sz w:val="21"/>
          <w:szCs w:val="21"/>
        </w:rPr>
        <w:t xml:space="preserve">Wie finden Erwachsene zum Glauben? Einführung und Ergebnisse der Greifswalder Studie. </w:t>
      </w:r>
      <w:r w:rsidRPr="004F2AE4">
        <w:rPr>
          <w:noProof/>
          <w:sz w:val="21"/>
          <w:szCs w:val="21"/>
        </w:rPr>
        <w:t xml:space="preserve">Neukirchen-Vluyn 2010, 169-187 (BEG-Praxis) </w:t>
      </w:r>
    </w:p>
    <w:p w14:paraId="54CB3CE5" w14:textId="6105E1D5" w:rsidR="004F2AE4" w:rsidRPr="004F2AE4" w:rsidRDefault="004F2AE4" w:rsidP="004F2AE4">
      <w:pPr>
        <w:pStyle w:val="EndNoteBibliography"/>
        <w:spacing w:after="0"/>
        <w:ind w:left="284" w:hanging="284"/>
        <w:rPr>
          <w:b/>
          <w:noProof/>
          <w:sz w:val="21"/>
          <w:szCs w:val="21"/>
        </w:rPr>
      </w:pPr>
      <w:r w:rsidRPr="004F2AE4">
        <w:rPr>
          <w:b/>
          <w:noProof/>
          <w:sz w:val="21"/>
          <w:szCs w:val="21"/>
        </w:rPr>
        <w:t>Herbst, Michael: beziehungsweise. Grundlagen und Praxisfelder evangelischer Seelsorge, Neukirchen Vluyn 2. Aufl. 2013, besonders Kap. 4.</w:t>
      </w:r>
    </w:p>
    <w:p w14:paraId="133E68D2"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Josuttis, Manfred: </w:t>
      </w:r>
      <w:r w:rsidRPr="004F2AE4">
        <w:rPr>
          <w:i/>
          <w:noProof/>
          <w:sz w:val="21"/>
          <w:szCs w:val="21"/>
        </w:rPr>
        <w:t>Segenskräfte. Potentiale einer energetischen Seelsorge</w:t>
      </w:r>
      <w:r w:rsidRPr="004F2AE4">
        <w:rPr>
          <w:noProof/>
          <w:sz w:val="21"/>
          <w:szCs w:val="21"/>
        </w:rPr>
        <w:t xml:space="preserve">. Göttingen 2000 </w:t>
      </w:r>
    </w:p>
    <w:p w14:paraId="5C47EA2C"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Jüngel, Eberhard: </w:t>
      </w:r>
      <w:r w:rsidRPr="004F2AE4">
        <w:rPr>
          <w:i/>
          <w:noProof/>
          <w:sz w:val="21"/>
          <w:szCs w:val="21"/>
        </w:rPr>
        <w:t>Das Evangelium von der Rechtfertigung des Gottlosen als Zentrum des christlichen Glaubens</w:t>
      </w:r>
      <w:r w:rsidRPr="004F2AE4">
        <w:rPr>
          <w:noProof/>
          <w:sz w:val="21"/>
          <w:szCs w:val="21"/>
        </w:rPr>
        <w:t xml:space="preserve">. Tübingen 4. Aufl.2004 </w:t>
      </w:r>
    </w:p>
    <w:p w14:paraId="4DEF886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Kettling, Siegfried: </w:t>
      </w:r>
      <w:r w:rsidRPr="004F2AE4">
        <w:rPr>
          <w:i/>
          <w:noProof/>
          <w:sz w:val="21"/>
          <w:szCs w:val="21"/>
        </w:rPr>
        <w:t>Wie der Mensch zum Menschen wird</w:t>
      </w:r>
      <w:r w:rsidRPr="004F2AE4">
        <w:rPr>
          <w:noProof/>
          <w:sz w:val="21"/>
          <w:szCs w:val="21"/>
        </w:rPr>
        <w:t xml:space="preserve">. Gießen 1981 </w:t>
      </w:r>
    </w:p>
    <w:p w14:paraId="7951B3C2"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Du gibst mich nicht dem Tode preis</w:t>
      </w:r>
      <w:r w:rsidRPr="004F2AE4">
        <w:rPr>
          <w:noProof/>
          <w:sz w:val="21"/>
          <w:szCs w:val="21"/>
        </w:rPr>
        <w:t xml:space="preserve">. Wuppertal und Zürich 1989 </w:t>
      </w:r>
    </w:p>
    <w:p w14:paraId="4E6A0479" w14:textId="77777777" w:rsidR="0037503E" w:rsidRPr="004F2AE4" w:rsidRDefault="0037503E" w:rsidP="0037503E">
      <w:pPr>
        <w:pStyle w:val="EndNoteBibliography"/>
        <w:spacing w:after="0"/>
        <w:ind w:left="720" w:hanging="720"/>
        <w:rPr>
          <w:noProof/>
          <w:sz w:val="21"/>
          <w:szCs w:val="21"/>
        </w:rPr>
      </w:pPr>
      <w:bookmarkStart w:id="5" w:name="_GoBack"/>
      <w:r w:rsidRPr="004F2AE4">
        <w:rPr>
          <w:noProof/>
          <w:sz w:val="21"/>
          <w:szCs w:val="21"/>
        </w:rPr>
        <w:t xml:space="preserve">Klessmann, Michael: </w:t>
      </w:r>
      <w:r w:rsidRPr="004F2AE4">
        <w:rPr>
          <w:i/>
          <w:noProof/>
          <w:sz w:val="21"/>
          <w:szCs w:val="21"/>
        </w:rPr>
        <w:t>Seelsorge. Begleitung, Begegnung, Lebensdeutung im Horizont des christlichen Glaubens. Ein Lehrbuch</w:t>
      </w:r>
      <w:r w:rsidRPr="004F2AE4">
        <w:rPr>
          <w:noProof/>
          <w:sz w:val="21"/>
          <w:szCs w:val="21"/>
        </w:rPr>
        <w:t xml:space="preserve">. Neukirchen-Vluyn 2. Aufl. 2009 </w:t>
      </w:r>
    </w:p>
    <w:bookmarkEnd w:id="5"/>
    <w:p w14:paraId="543A7E7B"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Knieling, Reiner: </w:t>
      </w:r>
      <w:r w:rsidRPr="004F2AE4">
        <w:rPr>
          <w:i/>
          <w:noProof/>
          <w:sz w:val="21"/>
          <w:szCs w:val="21"/>
        </w:rPr>
        <w:t>Mit Scheitern leben lernen. Auf dem Weg zu einem lebendigen Glauben</w:t>
      </w:r>
      <w:r w:rsidRPr="004F2AE4">
        <w:rPr>
          <w:noProof/>
          <w:sz w:val="21"/>
          <w:szCs w:val="21"/>
        </w:rPr>
        <w:t xml:space="preserve">. Neukirchen-Vluyn 2006 </w:t>
      </w:r>
    </w:p>
    <w:p w14:paraId="63131D6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Kübler-Ross, Elisabeth: </w:t>
      </w:r>
      <w:r w:rsidRPr="004F2AE4">
        <w:rPr>
          <w:i/>
          <w:noProof/>
          <w:sz w:val="21"/>
          <w:szCs w:val="21"/>
        </w:rPr>
        <w:t>Kind und Tod</w:t>
      </w:r>
      <w:r w:rsidRPr="004F2AE4">
        <w:rPr>
          <w:noProof/>
          <w:sz w:val="21"/>
          <w:szCs w:val="21"/>
        </w:rPr>
        <w:t xml:space="preserve">. Stuttgart 4. Aufl. 1990 </w:t>
      </w:r>
    </w:p>
    <w:p w14:paraId="6F5D029D"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Lemke, Helga und Thürnau, Wilhelm: </w:t>
      </w:r>
      <w:r w:rsidRPr="004F2AE4">
        <w:rPr>
          <w:i/>
          <w:noProof/>
          <w:sz w:val="21"/>
          <w:szCs w:val="21"/>
        </w:rPr>
        <w:t>Personzentrierte Psychotherapie und Seelsorge</w:t>
      </w:r>
      <w:r w:rsidRPr="004F2AE4">
        <w:rPr>
          <w:noProof/>
          <w:sz w:val="21"/>
          <w:szCs w:val="21"/>
        </w:rPr>
        <w:t xml:space="preserve">. In: Wilfried Engemann (Hg.): </w:t>
      </w:r>
      <w:r w:rsidRPr="004F2AE4">
        <w:rPr>
          <w:i/>
          <w:noProof/>
          <w:sz w:val="21"/>
          <w:szCs w:val="21"/>
        </w:rPr>
        <w:t xml:space="preserve">Handbuch der Seelsorge. Grundlagen und Profile. </w:t>
      </w:r>
      <w:r w:rsidRPr="004F2AE4">
        <w:rPr>
          <w:noProof/>
          <w:sz w:val="21"/>
          <w:szCs w:val="21"/>
        </w:rPr>
        <w:t xml:space="preserve">Leipzig 2007, 252-267 </w:t>
      </w:r>
    </w:p>
    <w:p w14:paraId="5E3A3253"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Luther, Henning:  </w:t>
      </w:r>
      <w:r w:rsidRPr="004F2AE4">
        <w:rPr>
          <w:i/>
          <w:noProof/>
          <w:sz w:val="21"/>
          <w:szCs w:val="21"/>
        </w:rPr>
        <w:t>Leben als Fragment. Der Mythos von der Ganzheit</w:t>
      </w:r>
      <w:r w:rsidRPr="004F2AE4">
        <w:rPr>
          <w:noProof/>
          <w:sz w:val="21"/>
          <w:szCs w:val="21"/>
        </w:rPr>
        <w:t>. WzM 43 (1991), 262-273</w:t>
      </w:r>
    </w:p>
    <w:p w14:paraId="79A98C91"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Identität und Fragment. Praktisch-theologische Überlegungen zur Unabschließbarkeit von Bildungsprozessen</w:t>
      </w:r>
      <w:r w:rsidRPr="004F2AE4">
        <w:rPr>
          <w:noProof/>
          <w:sz w:val="21"/>
          <w:szCs w:val="21"/>
        </w:rPr>
        <w:t xml:space="preserve">. In: Henning Luther (Hg.): </w:t>
      </w:r>
      <w:r w:rsidRPr="004F2AE4">
        <w:rPr>
          <w:i/>
          <w:noProof/>
          <w:sz w:val="21"/>
          <w:szCs w:val="21"/>
        </w:rPr>
        <w:t xml:space="preserve">Religion und Alltag. Bausteine zu einer Praktischen Theologie des Subjekts. </w:t>
      </w:r>
      <w:r w:rsidRPr="004F2AE4">
        <w:rPr>
          <w:noProof/>
          <w:sz w:val="21"/>
          <w:szCs w:val="21"/>
        </w:rPr>
        <w:t xml:space="preserve">Stuttgart 1992, 160-182 </w:t>
      </w:r>
    </w:p>
    <w:p w14:paraId="78827E86"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MacIntyre, Alisdair: </w:t>
      </w:r>
      <w:r w:rsidRPr="004F2AE4">
        <w:rPr>
          <w:i/>
          <w:noProof/>
          <w:sz w:val="21"/>
          <w:szCs w:val="21"/>
        </w:rPr>
        <w:t>Die Anerkennung der Abhängigkeit. Über menschliche Tugenden</w:t>
      </w:r>
      <w:r w:rsidRPr="004F2AE4">
        <w:rPr>
          <w:noProof/>
          <w:sz w:val="21"/>
          <w:szCs w:val="21"/>
        </w:rPr>
        <w:t xml:space="preserve">. Hamburg 2001 </w:t>
      </w:r>
    </w:p>
    <w:p w14:paraId="413CD197"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Möller, Christian: </w:t>
      </w:r>
      <w:r w:rsidRPr="004F2AE4">
        <w:rPr>
          <w:i/>
          <w:noProof/>
          <w:sz w:val="21"/>
          <w:szCs w:val="21"/>
        </w:rPr>
        <w:t>Entstehung und Prägung des Begriffs Seelsorge</w:t>
      </w:r>
      <w:r w:rsidRPr="004F2AE4">
        <w:rPr>
          <w:noProof/>
          <w:sz w:val="21"/>
          <w:szCs w:val="21"/>
        </w:rPr>
        <w:t xml:space="preserve">. In: Christian Möller (Hg.): </w:t>
      </w:r>
      <w:r w:rsidRPr="004F2AE4">
        <w:rPr>
          <w:i/>
          <w:noProof/>
          <w:sz w:val="21"/>
          <w:szCs w:val="21"/>
        </w:rPr>
        <w:t xml:space="preserve">Geschichte der Seelsorge in Einzelporträts. </w:t>
      </w:r>
      <w:r w:rsidRPr="004F2AE4">
        <w:rPr>
          <w:noProof/>
          <w:sz w:val="21"/>
          <w:szCs w:val="21"/>
        </w:rPr>
        <w:t xml:space="preserve">Göttingen 1994, 9-18 </w:t>
      </w:r>
    </w:p>
    <w:p w14:paraId="554171E2"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Morgenthaler, Christoph: </w:t>
      </w:r>
      <w:r w:rsidRPr="004F2AE4">
        <w:rPr>
          <w:i/>
          <w:noProof/>
          <w:sz w:val="21"/>
          <w:szCs w:val="21"/>
        </w:rPr>
        <w:t>Systemische Seelsorge. Impulse der Familien- und Systemtherapie für die kirchliche Praxis</w:t>
      </w:r>
      <w:r w:rsidRPr="004F2AE4">
        <w:rPr>
          <w:noProof/>
          <w:sz w:val="21"/>
          <w:szCs w:val="21"/>
        </w:rPr>
        <w:t xml:space="preserve">. Stuttgart 4. Aufl. 2005 </w:t>
      </w:r>
    </w:p>
    <w:p w14:paraId="4ABAD7BF"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Seelsorge</w:t>
      </w:r>
      <w:r w:rsidRPr="004F2AE4">
        <w:rPr>
          <w:noProof/>
          <w:sz w:val="21"/>
          <w:szCs w:val="21"/>
        </w:rPr>
        <w:t>. Gütersloh 2009 (Lehrbuch Praktische Theologie Bd. 3 )</w:t>
      </w:r>
    </w:p>
    <w:p w14:paraId="7CF3A2C2"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Naurath, Elisabeth:  </w:t>
      </w:r>
      <w:r w:rsidRPr="004F2AE4">
        <w:rPr>
          <w:i/>
          <w:noProof/>
          <w:sz w:val="21"/>
          <w:szCs w:val="21"/>
        </w:rPr>
        <w:t>Die Seele spüren. Herausforderungen an die gegenwärtige Seelsorge</w:t>
      </w:r>
      <w:r w:rsidRPr="004F2AE4">
        <w:rPr>
          <w:noProof/>
          <w:sz w:val="21"/>
          <w:szCs w:val="21"/>
        </w:rPr>
        <w:t>. PTh 92 (2003), 98-113</w:t>
      </w:r>
    </w:p>
    <w:p w14:paraId="29B7EDA8"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Plieth, Martina: </w:t>
      </w:r>
      <w:r w:rsidRPr="004F2AE4">
        <w:rPr>
          <w:i/>
          <w:noProof/>
          <w:sz w:val="21"/>
          <w:szCs w:val="21"/>
        </w:rPr>
        <w:t>Seelsorge im Kontext von Sterben, Tod und Trauer</w:t>
      </w:r>
      <w:r w:rsidRPr="004F2AE4">
        <w:rPr>
          <w:noProof/>
          <w:sz w:val="21"/>
          <w:szCs w:val="21"/>
        </w:rPr>
        <w:t xml:space="preserve">. In: Wilfried Engemann (Hg.): </w:t>
      </w:r>
      <w:r w:rsidRPr="004F2AE4">
        <w:rPr>
          <w:i/>
          <w:noProof/>
          <w:sz w:val="21"/>
          <w:szCs w:val="21"/>
        </w:rPr>
        <w:t xml:space="preserve">Handbuch der Seelsorge. Grundlagen und Profile. </w:t>
      </w:r>
      <w:r w:rsidRPr="004F2AE4">
        <w:rPr>
          <w:noProof/>
          <w:sz w:val="21"/>
          <w:szCs w:val="21"/>
        </w:rPr>
        <w:t xml:space="preserve">Leipzig 2007, 446-463 </w:t>
      </w:r>
    </w:p>
    <w:p w14:paraId="1024FF34"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Rat der EKD (Hg.): </w:t>
      </w:r>
      <w:r w:rsidRPr="004F2AE4">
        <w:rPr>
          <w:i/>
          <w:noProof/>
          <w:sz w:val="21"/>
          <w:szCs w:val="21"/>
        </w:rPr>
        <w:t>Die Bekenntnisschriften der evangelisch-lutherischen Kirche. Herausgegeben im Gedenkjahr der Augsburgischen Konfession 1930</w:t>
      </w:r>
      <w:r w:rsidRPr="004F2AE4">
        <w:rPr>
          <w:noProof/>
          <w:sz w:val="21"/>
          <w:szCs w:val="21"/>
        </w:rPr>
        <w:t xml:space="preserve">. Göttingen 2. Aufl. 1976 </w:t>
      </w:r>
    </w:p>
    <w:p w14:paraId="765F3811"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Rolf, Sibylle: </w:t>
      </w:r>
      <w:r w:rsidRPr="004F2AE4">
        <w:rPr>
          <w:i/>
          <w:noProof/>
          <w:sz w:val="21"/>
          <w:szCs w:val="21"/>
        </w:rPr>
        <w:t>Vom Sinn zum Trost. Überlegungen zur Seelsorge im Horizont einer relationalen Ontologie</w:t>
      </w:r>
      <w:r w:rsidRPr="004F2AE4">
        <w:rPr>
          <w:noProof/>
          <w:sz w:val="21"/>
          <w:szCs w:val="21"/>
        </w:rPr>
        <w:t>. Münster 2003 (Heidelberger Studien zur Praktischen Theologie Bd. 6)</w:t>
      </w:r>
    </w:p>
    <w:p w14:paraId="102861E3"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Seitz, Manfred: </w:t>
      </w:r>
      <w:r w:rsidRPr="004F2AE4">
        <w:rPr>
          <w:i/>
          <w:noProof/>
          <w:sz w:val="21"/>
          <w:szCs w:val="21"/>
        </w:rPr>
        <w:t>Was ist Seelsorge - und wie geschieht sie durch Gemeindeglieder</w:t>
      </w:r>
      <w:r w:rsidRPr="004F2AE4">
        <w:rPr>
          <w:noProof/>
          <w:sz w:val="21"/>
          <w:szCs w:val="21"/>
        </w:rPr>
        <w:t xml:space="preserve">. In: Manfred Seitz (Hg.): </w:t>
      </w:r>
      <w:r w:rsidRPr="004F2AE4">
        <w:rPr>
          <w:i/>
          <w:noProof/>
          <w:sz w:val="21"/>
          <w:szCs w:val="21"/>
        </w:rPr>
        <w:t xml:space="preserve">Praxis des Glaubens. Gottesdienst, Seelsorge und Spiritualität. </w:t>
      </w:r>
      <w:r w:rsidRPr="004F2AE4">
        <w:rPr>
          <w:noProof/>
          <w:sz w:val="21"/>
          <w:szCs w:val="21"/>
        </w:rPr>
        <w:t xml:space="preserve">Göttingen 2. Aufl. 1979a, 73-83 </w:t>
      </w:r>
    </w:p>
    <w:p w14:paraId="783FF0B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Evangelische Seelsorge. Der Dienst der Kirche am Menschen zwischen Theologie und Tiefenpsychologie. Unveröffentlichtes studentisches Masch. Man.</w:t>
      </w:r>
      <w:r w:rsidRPr="004F2AE4">
        <w:rPr>
          <w:noProof/>
          <w:sz w:val="21"/>
          <w:szCs w:val="21"/>
        </w:rPr>
        <w:t xml:space="preserve"> Erlangen 1979b </w:t>
      </w:r>
    </w:p>
    <w:p w14:paraId="48039A77"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Praxis des Glaubens</w:t>
      </w:r>
      <w:r w:rsidRPr="004F2AE4">
        <w:rPr>
          <w:noProof/>
          <w:sz w:val="21"/>
          <w:szCs w:val="21"/>
        </w:rPr>
        <w:t xml:space="preserve">. Göttingen 2. Aufl. 1979c </w:t>
      </w:r>
    </w:p>
    <w:p w14:paraId="2015F592"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Stollberg, Dietrich: </w:t>
      </w:r>
      <w:r w:rsidRPr="004F2AE4">
        <w:rPr>
          <w:i/>
          <w:noProof/>
          <w:sz w:val="21"/>
          <w:szCs w:val="21"/>
        </w:rPr>
        <w:t>Psychotherapeutische Aspekte des seelsorglichen Gesprächs</w:t>
      </w:r>
      <w:r w:rsidRPr="004F2AE4">
        <w:rPr>
          <w:noProof/>
          <w:sz w:val="21"/>
          <w:szCs w:val="21"/>
        </w:rPr>
        <w:t xml:space="preserve">. In: Wilfried Engemann (Hg.): </w:t>
      </w:r>
      <w:r w:rsidRPr="004F2AE4">
        <w:rPr>
          <w:i/>
          <w:noProof/>
          <w:sz w:val="21"/>
          <w:szCs w:val="21"/>
        </w:rPr>
        <w:t xml:space="preserve">Handbuch der Seelsorge. Grundlagen und Profile. </w:t>
      </w:r>
      <w:r w:rsidRPr="004F2AE4">
        <w:rPr>
          <w:noProof/>
          <w:sz w:val="21"/>
          <w:szCs w:val="21"/>
        </w:rPr>
        <w:t xml:space="preserve">Leipzig 2007, 202-226 </w:t>
      </w:r>
    </w:p>
    <w:p w14:paraId="057AB1C4"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Tacke, Helmut: </w:t>
      </w:r>
      <w:r w:rsidRPr="004F2AE4">
        <w:rPr>
          <w:i/>
          <w:noProof/>
          <w:sz w:val="21"/>
          <w:szCs w:val="21"/>
        </w:rPr>
        <w:t>Glaubenshilfe als Lebenshilfe</w:t>
      </w:r>
      <w:r w:rsidRPr="004F2AE4">
        <w:rPr>
          <w:noProof/>
          <w:sz w:val="21"/>
          <w:szCs w:val="21"/>
        </w:rPr>
        <w:t xml:space="preserve">. Neukirchen-Vluyn 2. Aufl. 1979 </w:t>
      </w:r>
    </w:p>
    <w:p w14:paraId="4F0269D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Theilemann, Wilfried:  </w:t>
      </w:r>
      <w:r w:rsidRPr="004F2AE4">
        <w:rPr>
          <w:i/>
          <w:noProof/>
          <w:sz w:val="21"/>
          <w:szCs w:val="21"/>
        </w:rPr>
        <w:t>Unfreiwillige Frei-Willigkeit. Seelsorge und Anthropologie</w:t>
      </w:r>
      <w:r w:rsidRPr="004F2AE4">
        <w:rPr>
          <w:noProof/>
          <w:sz w:val="21"/>
          <w:szCs w:val="21"/>
        </w:rPr>
        <w:t>. EvTh 59 (2007), 3-15</w:t>
      </w:r>
    </w:p>
    <w:p w14:paraId="2AA4564C"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Thurneysen, Eduard:  </w:t>
      </w:r>
      <w:r w:rsidRPr="004F2AE4">
        <w:rPr>
          <w:i/>
          <w:noProof/>
          <w:sz w:val="21"/>
          <w:szCs w:val="21"/>
        </w:rPr>
        <w:t>Rechtfertigung und Seelsorge</w:t>
      </w:r>
      <w:r w:rsidRPr="004F2AE4">
        <w:rPr>
          <w:noProof/>
          <w:sz w:val="21"/>
          <w:szCs w:val="21"/>
        </w:rPr>
        <w:t>. Zwischen den Zeiten 6 (1928), 208-218</w:t>
      </w:r>
    </w:p>
    <w:p w14:paraId="7D8F639E"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Die Lehre von der Seelsorge</w:t>
      </w:r>
      <w:r w:rsidRPr="004F2AE4">
        <w:rPr>
          <w:noProof/>
          <w:sz w:val="21"/>
          <w:szCs w:val="21"/>
        </w:rPr>
        <w:t xml:space="preserve">. München 1948 </w:t>
      </w:r>
    </w:p>
    <w:p w14:paraId="00EDA594"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Utsch, Michael: </w:t>
      </w:r>
      <w:r w:rsidRPr="004F2AE4">
        <w:rPr>
          <w:i/>
          <w:noProof/>
          <w:sz w:val="21"/>
          <w:szCs w:val="21"/>
        </w:rPr>
        <w:t>Religionspsychologie. Voraussetzungen, Grundlagen, Forschungsüberblick</w:t>
      </w:r>
      <w:r w:rsidRPr="004F2AE4">
        <w:rPr>
          <w:noProof/>
          <w:sz w:val="21"/>
          <w:szCs w:val="21"/>
        </w:rPr>
        <w:t xml:space="preserve">. Stuttgart 1998 </w:t>
      </w:r>
    </w:p>
    <w:p w14:paraId="6D69DC5D" w14:textId="77777777" w:rsidR="0037503E" w:rsidRPr="004F2AE4" w:rsidRDefault="0037503E" w:rsidP="0037503E">
      <w:pPr>
        <w:pStyle w:val="EndNoteBibliography"/>
        <w:spacing w:after="0"/>
        <w:ind w:left="720" w:hanging="720"/>
        <w:rPr>
          <w:noProof/>
          <w:sz w:val="21"/>
          <w:szCs w:val="21"/>
        </w:rPr>
      </w:pPr>
      <w:r w:rsidRPr="004F2AE4">
        <w:rPr>
          <w:b/>
          <w:noProof/>
          <w:sz w:val="21"/>
          <w:szCs w:val="21"/>
        </w:rPr>
        <w:t xml:space="preserve">Wolff, Hans-Walter: </w:t>
      </w:r>
      <w:r w:rsidRPr="004F2AE4">
        <w:rPr>
          <w:i/>
          <w:noProof/>
          <w:sz w:val="21"/>
          <w:szCs w:val="21"/>
        </w:rPr>
        <w:t>Anthropologie des Alten Testaments</w:t>
      </w:r>
      <w:r w:rsidRPr="004F2AE4">
        <w:rPr>
          <w:noProof/>
          <w:sz w:val="21"/>
          <w:szCs w:val="21"/>
        </w:rPr>
        <w:t xml:space="preserve">. München 3. Aufl. 1977 </w:t>
      </w:r>
    </w:p>
    <w:p w14:paraId="1137E0B6" w14:textId="77777777" w:rsidR="0037503E" w:rsidRPr="004F2AE4" w:rsidRDefault="0037503E" w:rsidP="0037503E">
      <w:pPr>
        <w:pStyle w:val="EndNoteBibliography"/>
        <w:spacing w:after="0"/>
        <w:ind w:left="720" w:hanging="720"/>
        <w:rPr>
          <w:b/>
          <w:noProof/>
          <w:sz w:val="21"/>
          <w:szCs w:val="21"/>
        </w:rPr>
      </w:pPr>
      <w:r w:rsidRPr="004F2AE4">
        <w:rPr>
          <w:b/>
          <w:noProof/>
          <w:sz w:val="21"/>
          <w:szCs w:val="21"/>
        </w:rPr>
        <w:t xml:space="preserve">---: </w:t>
      </w:r>
      <w:r w:rsidRPr="004F2AE4">
        <w:rPr>
          <w:b/>
          <w:i/>
          <w:noProof/>
          <w:sz w:val="21"/>
          <w:szCs w:val="21"/>
        </w:rPr>
        <w:t>Anthropologie des Alten Testaments. Mit zwei Anhängen neu herausgegeben von Bernd Janowski</w:t>
      </w:r>
      <w:r w:rsidRPr="004F2AE4">
        <w:rPr>
          <w:b/>
          <w:noProof/>
          <w:sz w:val="21"/>
          <w:szCs w:val="21"/>
        </w:rPr>
        <w:t xml:space="preserve">. Gütersloh 2010 </w:t>
      </w:r>
    </w:p>
    <w:p w14:paraId="27B46296"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Ziemer, Jürgen: </w:t>
      </w:r>
      <w:r w:rsidRPr="004F2AE4">
        <w:rPr>
          <w:i/>
          <w:noProof/>
          <w:sz w:val="21"/>
          <w:szCs w:val="21"/>
        </w:rPr>
        <w:t>Seelsorgelehre. Eine Einführung für Studium und Praxis</w:t>
      </w:r>
      <w:r w:rsidRPr="004F2AE4">
        <w:rPr>
          <w:noProof/>
          <w:sz w:val="21"/>
          <w:szCs w:val="21"/>
        </w:rPr>
        <w:t xml:space="preserve">. Stuttgart 2000 </w:t>
      </w:r>
    </w:p>
    <w:p w14:paraId="4E36DE5F"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Psychologische Grundlagen der Seelsorge</w:t>
      </w:r>
      <w:r w:rsidRPr="004F2AE4">
        <w:rPr>
          <w:noProof/>
          <w:sz w:val="21"/>
          <w:szCs w:val="21"/>
        </w:rPr>
        <w:t xml:space="preserve">. In: Wilfried Engemann (Hg.): </w:t>
      </w:r>
      <w:r w:rsidRPr="004F2AE4">
        <w:rPr>
          <w:i/>
          <w:noProof/>
          <w:sz w:val="21"/>
          <w:szCs w:val="21"/>
        </w:rPr>
        <w:t xml:space="preserve">Handbuch der Seelsorge. Grundlagen und Profile. </w:t>
      </w:r>
      <w:r w:rsidRPr="004F2AE4">
        <w:rPr>
          <w:noProof/>
          <w:sz w:val="21"/>
          <w:szCs w:val="21"/>
        </w:rPr>
        <w:t xml:space="preserve">Leipzig 2007, 34-62 </w:t>
      </w:r>
    </w:p>
    <w:p w14:paraId="29FDC019"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Zulehner, Paul M.: </w:t>
      </w:r>
      <w:r w:rsidRPr="004F2AE4">
        <w:rPr>
          <w:i/>
          <w:noProof/>
          <w:sz w:val="21"/>
          <w:szCs w:val="21"/>
        </w:rPr>
        <w:t>Kleine Lebenswelten. Zur Kultur der Beziehungen zwischen Mann und Frau.</w:t>
      </w:r>
      <w:r w:rsidRPr="004F2AE4">
        <w:rPr>
          <w:noProof/>
          <w:sz w:val="21"/>
          <w:szCs w:val="21"/>
        </w:rPr>
        <w:t xml:space="preserve"> Paderborn 3. Aufl. 1994 (Bonifatius Kontur Bd. 7958)</w:t>
      </w:r>
    </w:p>
    <w:p w14:paraId="06BF53E8" w14:textId="77777777" w:rsidR="0037503E" w:rsidRPr="004F2AE4" w:rsidRDefault="0037503E" w:rsidP="0037503E">
      <w:pPr>
        <w:pStyle w:val="EndNoteBibliography"/>
        <w:spacing w:after="0"/>
        <w:ind w:left="720" w:hanging="720"/>
        <w:rPr>
          <w:noProof/>
          <w:sz w:val="21"/>
          <w:szCs w:val="21"/>
        </w:rPr>
      </w:pPr>
      <w:r w:rsidRPr="004F2AE4">
        <w:rPr>
          <w:noProof/>
          <w:sz w:val="21"/>
          <w:szCs w:val="21"/>
        </w:rPr>
        <w:t xml:space="preserve">---: </w:t>
      </w:r>
      <w:r w:rsidRPr="004F2AE4">
        <w:rPr>
          <w:i/>
          <w:noProof/>
          <w:sz w:val="21"/>
          <w:szCs w:val="21"/>
        </w:rPr>
        <w:t>Aufbrechen oder Untergehen. Wie können unsere Gemeinden zukunftsfähig werden?</w:t>
      </w:r>
      <w:r w:rsidRPr="004F2AE4">
        <w:rPr>
          <w:noProof/>
          <w:sz w:val="21"/>
          <w:szCs w:val="21"/>
        </w:rPr>
        <w:t xml:space="preserve"> In: Michael Herbst, Jörg Ohlemacher und Johannes Zimmermann (Hg.): </w:t>
      </w:r>
      <w:r w:rsidRPr="004F2AE4">
        <w:rPr>
          <w:i/>
          <w:noProof/>
          <w:sz w:val="21"/>
          <w:szCs w:val="21"/>
        </w:rPr>
        <w:t xml:space="preserve">Missionarische Perspektiven für die Kirche der Zukunft. </w:t>
      </w:r>
      <w:r w:rsidRPr="004F2AE4">
        <w:rPr>
          <w:noProof/>
          <w:sz w:val="21"/>
          <w:szCs w:val="21"/>
        </w:rPr>
        <w:t>Neukirchen-Vluyn 3. Aufl. 2008, 17-30 (BEG 1)</w:t>
      </w:r>
    </w:p>
    <w:p w14:paraId="75029011" w14:textId="77777777" w:rsidR="0037503E" w:rsidRPr="006C6E5A" w:rsidRDefault="0037503E" w:rsidP="0037503E">
      <w:pPr>
        <w:spacing w:after="0" w:line="240" w:lineRule="auto"/>
        <w:rPr>
          <w:sz w:val="22"/>
          <w:lang w:eastAsia="de-DE"/>
        </w:rPr>
      </w:pPr>
      <w:r w:rsidRPr="004F2AE4">
        <w:rPr>
          <w:sz w:val="21"/>
          <w:szCs w:val="21"/>
          <w:lang w:val="en-US"/>
        </w:rPr>
        <w:fldChar w:fldCharType="end"/>
      </w:r>
    </w:p>
    <w:sectPr w:rsidR="0037503E" w:rsidRPr="006C6E5A" w:rsidSect="000D11E1">
      <w:headerReference w:type="default" r:id="rId27"/>
      <w:footerReference w:type="even" r:id="rId28"/>
      <w:footerReference w:type="default" r:id="rId29"/>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FE43EF" w:rsidRDefault="00FE43EF" w:rsidP="000D11E1">
      <w:pPr>
        <w:spacing w:after="0" w:line="240" w:lineRule="auto"/>
      </w:pPr>
      <w:r>
        <w:separator/>
      </w:r>
    </w:p>
  </w:endnote>
  <w:endnote w:type="continuationSeparator" w:id="0">
    <w:p w14:paraId="3E2D083C" w14:textId="77777777" w:rsidR="00FE43EF" w:rsidRDefault="00FE43EF"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Bwgrkl">
    <w:panose1 w:val="02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FE43EF" w:rsidRDefault="00FE43EF"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FE43EF" w:rsidRDefault="00FE43EF"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FE43EF" w:rsidRDefault="00FE43EF"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F2AE4">
      <w:rPr>
        <w:rStyle w:val="Seitenzahl"/>
        <w:noProof/>
      </w:rPr>
      <w:t>10</w:t>
    </w:r>
    <w:r>
      <w:rPr>
        <w:rStyle w:val="Seitenzahl"/>
      </w:rPr>
      <w:fldChar w:fldCharType="end"/>
    </w:r>
  </w:p>
  <w:p w14:paraId="5FF3E61A" w14:textId="15C1FECA" w:rsidR="00FE43EF" w:rsidRPr="00496B32" w:rsidRDefault="00FE43EF"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279FC9C0" w:rsidR="00FE43EF" w:rsidRPr="00496B32" w:rsidRDefault="00FE43EF" w:rsidP="000D11E1">
    <w:pPr>
      <w:pStyle w:val="Fuzeile"/>
      <w:rPr>
        <w:sz w:val="16"/>
        <w:szCs w:val="16"/>
      </w:rPr>
    </w:pPr>
    <w:r>
      <w:rPr>
        <w:sz w:val="16"/>
        <w:szCs w:val="16"/>
      </w:rPr>
      <w:t>29. November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FE43EF" w:rsidRDefault="00FE43EF" w:rsidP="000D11E1">
      <w:pPr>
        <w:spacing w:after="0" w:line="240" w:lineRule="auto"/>
      </w:pPr>
      <w:r>
        <w:separator/>
      </w:r>
    </w:p>
  </w:footnote>
  <w:footnote w:type="continuationSeparator" w:id="0">
    <w:p w14:paraId="54522CB8" w14:textId="77777777" w:rsidR="00FE43EF" w:rsidRDefault="00FE43EF" w:rsidP="000D11E1">
      <w:pPr>
        <w:spacing w:after="0" w:line="240" w:lineRule="auto"/>
      </w:pPr>
      <w:r>
        <w:continuationSeparator/>
      </w:r>
    </w:p>
  </w:footnote>
  <w:footnote w:id="1">
    <w:p w14:paraId="3731D758" w14:textId="77777777" w:rsidR="00FE43EF" w:rsidRPr="00E34622" w:rsidRDefault="00FE43EF" w:rsidP="003F32C4">
      <w:pPr>
        <w:pStyle w:val="Funotentext"/>
        <w:rPr>
          <w:color w:val="0000FF"/>
        </w:rPr>
      </w:pPr>
      <w:r w:rsidRPr="001124FE">
        <w:rPr>
          <w:rStyle w:val="Funotenzeichen"/>
        </w:rPr>
        <w:footnoteRef/>
      </w:r>
      <w:r>
        <w:t xml:space="preserve"> Vgl. </w:t>
      </w:r>
      <w:proofErr w:type="spellStart"/>
      <w:r>
        <w:t>dzu</w:t>
      </w:r>
      <w:proofErr w:type="spellEnd"/>
      <w:r>
        <w:t xml:space="preserve"> ausführlich </w:t>
      </w:r>
      <w:r>
        <w:fldChar w:fldCharType="begin"/>
      </w:r>
      <w:r>
        <w:instrText xml:space="preserve"> ADDIN EN.CITE &lt;EndNote&gt;&lt;Cite&gt;&lt;Author&gt;Härle&lt;/Author&gt;&lt;Year&gt;2005&lt;/Year&gt;&lt;RecNum&gt;923&lt;/RecNum&gt;&lt;DisplayText&gt;Wilfried Härle 2005&lt;/DisplayText&gt;&lt;record&gt;&lt;rec-number&gt;923&lt;/rec-number&gt;&lt;foreign-keys&gt;&lt;key app="EN" db-id="0t0dxv9vetdatmef0a959d9wdwf995aa9dxw" timestamp="0"&gt;923&lt;/key&gt;&lt;/foreign-keys&gt;&lt;ref-type name="Book"&gt;6&lt;/ref-type&gt;&lt;contributors&gt;&lt;authors&gt;&lt;author&gt;Wilfried Härle&lt;/author&gt;&lt;/authors&gt;&lt;/contributors&gt;&lt;titles&gt;&lt;title&gt;Menschsein in Beziehungen. Studien zur Rechtfertigungslehre und Anthropologie&lt;/title&gt;&lt;/titles&gt;&lt;keywords&gt;&lt;keyword&gt;Beziehungen, Mensch, Seelsorge, Rechtfertigung&lt;/keyword&gt;&lt;/keywords&gt;&lt;dates&gt;&lt;year&gt;2005&lt;/year&gt;&lt;/dates&gt;&lt;pub-location&gt;Tübingen&lt;/pub-location&gt;&lt;urls&gt;&lt;/urls&gt;&lt;/record&gt;&lt;/Cite&gt;&lt;/EndNote&gt;</w:instrText>
      </w:r>
      <w:r>
        <w:fldChar w:fldCharType="separate"/>
      </w:r>
      <w:r>
        <w:rPr>
          <w:noProof/>
        </w:rPr>
        <w:t>Wilfried Härle 2005</w:t>
      </w:r>
      <w:r>
        <w:fldChar w:fldCharType="end"/>
      </w:r>
      <w:r>
        <w:t>, 67-105: „Die Gegenwartsbedeutung der ‚</w:t>
      </w:r>
      <w:proofErr w:type="spellStart"/>
      <w:r>
        <w:t>Rechtfertigungs</w:t>
      </w:r>
      <w:proofErr w:type="spellEnd"/>
      <w:r>
        <w:t>’-Lehre. Eine Problemskizze“, Zitat 7</w:t>
      </w:r>
      <w:r w:rsidRPr="00E34622">
        <w:t>8.</w:t>
      </w:r>
      <w:r>
        <w:t xml:space="preserve"> Vgl. im Blick auf das Folgende b</w:t>
      </w:r>
      <w:r>
        <w:t>e</w:t>
      </w:r>
      <w:r>
        <w:t>sonders auch das Fazit (104f).</w:t>
      </w:r>
    </w:p>
  </w:footnote>
  <w:footnote w:id="2">
    <w:p w14:paraId="20AEF130" w14:textId="2CBF7BBF" w:rsidR="00FE43EF" w:rsidRDefault="00FE43EF" w:rsidP="003F32C4">
      <w:pPr>
        <w:pStyle w:val="Funotentext"/>
      </w:pPr>
      <w:r w:rsidRPr="001124FE">
        <w:rPr>
          <w:rStyle w:val="Funotenzeichen"/>
        </w:rPr>
        <w:footnoteRef/>
      </w:r>
      <w:r>
        <w:t xml:space="preserve"> Martin Luther in der Erklärung zum Ersten Glaubensartikel im Kleinen Katechismus = </w:t>
      </w:r>
      <w:r>
        <w:fldChar w:fldCharType="begin"/>
      </w:r>
      <w:r>
        <w:instrText xml:space="preserve"> ADDIN EN.CITE &lt;EndNote&gt;&lt;Cite&gt;&lt;Author&gt;EKD&lt;/Author&gt;&lt;Year&gt;1976&lt;/Year&gt;&lt;RecNum&gt;2209&lt;/RecNum&gt;&lt;DisplayText&gt;Rat der EKD, 1976&lt;/DisplayText&gt;&lt;record&gt;&lt;rec-number&gt;2209&lt;/rec-number&gt;&lt;foreign-keys&gt;&lt;key app="EN" db-id="0t0dxv9vetdatmef0a959d9wdwf995aa9dxw" timestamp="1313507427"&gt;2209&lt;/key&gt;&lt;/foreign-keys&gt;&lt;ref-type name="Edited Book"&gt;28&lt;/ref-type&gt;&lt;contributors&gt;&lt;authors&gt;&lt;author&gt;Rat der EKD&lt;/author&gt;&lt;/authors&gt;&lt;/contributors&gt;&lt;titles&gt;&lt;title&gt;Die Bekenntnisschriften der evangelisch-lutherischen Kirche. Herausgegeben im Gedenkjahr der Augsburgischen Konfession 1930&lt;/title&gt;&lt;/titles&gt;&lt;edition&gt;2. Aufl. &lt;/edition&gt;&lt;dates&gt;&lt;year&gt;1976&lt;/year&gt;&lt;/dates&gt;&lt;pub-location&gt;Göttingen&lt;/pub-location&gt;&lt;urls&gt;&lt;/urls&gt;&lt;/record&gt;&lt;/Cite&gt;&lt;/EndNote&gt;</w:instrText>
      </w:r>
      <w:r>
        <w:fldChar w:fldCharType="separate"/>
      </w:r>
      <w:r>
        <w:rPr>
          <w:noProof/>
        </w:rPr>
        <w:t>Rat der EKD 1976</w:t>
      </w:r>
      <w:r>
        <w:fldChar w:fldCharType="end"/>
      </w:r>
      <w:r>
        <w:t xml:space="preserve">, 510. </w:t>
      </w:r>
    </w:p>
  </w:footnote>
  <w:footnote w:id="3">
    <w:p w14:paraId="5D7C6294" w14:textId="36CF56A2" w:rsidR="00FE43EF" w:rsidRDefault="00FE43EF" w:rsidP="0037503E">
      <w:pPr>
        <w:pStyle w:val="Funotentext"/>
      </w:pPr>
      <w:r w:rsidRPr="00DC791A">
        <w:rPr>
          <w:rStyle w:val="Funotenzeichen"/>
        </w:rPr>
        <w:footnoteRef/>
      </w:r>
      <w:r>
        <w:t xml:space="preserve"> Zusammenfassend auch die Anthropologie von </w:t>
      </w:r>
      <w:r>
        <w:fldChar w:fldCharType="begin"/>
      </w:r>
      <w:r>
        <w:instrText xml:space="preserve"> ADDIN EN.CITE &lt;EndNote&gt;&lt;Cite&gt;&lt;Author&gt;Wolff&lt;/Author&gt;&lt;Year&gt;1977&lt;/Year&gt;&lt;RecNum&gt;382&lt;/RecNum&gt;&lt;DisplayText&gt;Hans-Walter Wolff 1977&lt;/DisplayText&gt;&lt;record&gt;&lt;rec-number&gt;382&lt;/rec-number&gt;&lt;foreign-keys&gt;&lt;key app="EN" db-id="0t0dxv9vetdatmef0a959d9wdwf995aa9dxw" timestamp="0"&gt;382&lt;/key&gt;&lt;/foreign-keys&gt;&lt;ref-type name="Book"&gt;6&lt;/ref-type&gt;&lt;contributors&gt;&lt;authors&gt;&lt;author&gt;Hans-Walter Wolff&lt;/author&gt;&lt;/authors&gt;&lt;/contributors&gt;&lt;titles&gt;&lt;title&gt;Anthropologie des Alten Testaments&lt;/title&gt;&lt;/titles&gt;&lt;edition&gt;3. Aufl. &lt;/edition&gt;&lt;dates&gt;&lt;year&gt;1977&lt;/year&gt;&lt;/dates&gt;&lt;pub-location&gt;München&lt;/pub-location&gt;&lt;urls&gt;&lt;/urls&gt;&lt;/record&gt;&lt;/Cite&gt;&lt;/EndNote&gt;</w:instrText>
      </w:r>
      <w:r>
        <w:fldChar w:fldCharType="separate"/>
      </w:r>
      <w:r>
        <w:rPr>
          <w:noProof/>
        </w:rPr>
        <w:t>Hans-Walter Wolff 1977</w:t>
      </w:r>
      <w:r>
        <w:fldChar w:fldCharType="end"/>
      </w:r>
      <w:r>
        <w:t xml:space="preserve">, besonders S. 324-330; vgl. auch Bernd Janowskis „Anhang II“ in </w:t>
      </w:r>
      <w:r>
        <w:fldChar w:fldCharType="begin"/>
      </w:r>
      <w:r>
        <w:instrText xml:space="preserve"> ADDIN EN.CITE &lt;EndNote&gt;&lt;Cite&gt;&lt;Author&gt;Wolff&lt;/Author&gt;&lt;Year&gt;2010&lt;/Year&gt;&lt;RecNum&gt;1975&lt;/RecNum&gt;&lt;DisplayText&gt;Hans-Walter Wolff 2010&lt;/DisplayText&gt;&lt;record&gt;&lt;rec-number&gt;1975&lt;/rec-number&gt;&lt;foreign-keys&gt;&lt;key app="EN" db-id="0t0dxv9vetdatmef0a959d9wdwf995aa9dxw" timestamp="1306939732"&gt;1975&lt;/key&gt;&lt;/foreign-keys&gt;&lt;ref-type name="Book"&gt;6&lt;/ref-type&gt;&lt;contributors&gt;&lt;authors&gt;&lt;author&gt;Hans-Walter Wolff&lt;/author&gt;&lt;/authors&gt;&lt;/contributors&gt;&lt;titles&gt;&lt;title&gt;Anthropologie des Alten Testaments. Mit zwei Anhängen neu herausgegeben von Bernd Janowski&lt;/title&gt;&lt;/titles&gt;&lt;dates&gt;&lt;year&gt;2010&lt;/year&gt;&lt;/dates&gt;&lt;pub-location&gt;Gütersloh&lt;/pub-location&gt;&lt;urls&gt;&lt;/urls&gt;&lt;/record&gt;&lt;/Cite&gt;&lt;/EndNote&gt;</w:instrText>
      </w:r>
      <w:r>
        <w:fldChar w:fldCharType="separate"/>
      </w:r>
      <w:r>
        <w:rPr>
          <w:noProof/>
        </w:rPr>
        <w:t>Hans-Walter Wolff 2010</w:t>
      </w:r>
      <w:r>
        <w:fldChar w:fldCharType="end"/>
      </w:r>
      <w:r>
        <w:t>, 383. Vgl. zu den großzügigen „</w:t>
      </w:r>
      <w:proofErr w:type="spellStart"/>
      <w:r>
        <w:t>Startbedingungen“in</w:t>
      </w:r>
      <w:proofErr w:type="spellEnd"/>
      <w:r>
        <w:t xml:space="preserve"> ihrer spezifischen Sprache </w:t>
      </w:r>
      <w:r>
        <w:fldChar w:fldCharType="begin"/>
      </w:r>
      <w:r>
        <w:instrText xml:space="preserve"> ADDIN EN.CITE &lt;EndNote&gt;&lt;Cite&gt;&lt;Author&gt;Bonhoeffer&lt;/Author&gt;&lt;Year&gt;1975&lt;/Year&gt;&lt;RecNum&gt;843&lt;/RecNum&gt;&lt;DisplayText&gt;Dietrich Bonhoeffer 1975&lt;/DisplayText&gt;&lt;record&gt;&lt;rec-number&gt;843&lt;/rec-number&gt;&lt;foreign-keys&gt;&lt;key app="EN" db-id="0t0dxv9vetdatmef0a959d9wdwf995aa9dxw" timestamp="0"&gt;843&lt;/key&gt;&lt;/foreign-keys&gt;&lt;ref-type name="Book"&gt;6&lt;/ref-type&gt;&lt;contributors&gt;&lt;authors&gt;&lt;author&gt;Dietrich Bonhoeffer&lt;/author&gt;&lt;/authors&gt;&lt;/contributors&gt;&lt;titles&gt;&lt;title&gt;Ethik&lt;/title&gt;&lt;/titles&gt;&lt;dates&gt;&lt;year&gt;1975&lt;/year&gt;&lt;/dates&gt;&lt;pub-location&gt;München&lt;/pub-location&gt;&lt;urls&gt;&lt;/urls&gt;&lt;/record&gt;&lt;/Cite&gt;&lt;/EndNote&gt;</w:instrText>
      </w:r>
      <w:r>
        <w:fldChar w:fldCharType="separate"/>
      </w:r>
      <w:r>
        <w:rPr>
          <w:noProof/>
        </w:rPr>
        <w:t>Dietrich Bonhoeffer 1975</w:t>
      </w:r>
      <w:r>
        <w:fldChar w:fldCharType="end"/>
      </w:r>
      <w:r>
        <w:t>, 19-58, zur Entzweiung bes. 21f, zur Wiederherstellung der Einheit 25 und zur „Ei</w:t>
      </w:r>
      <w:r>
        <w:t>n</w:t>
      </w:r>
      <w:r>
        <w:t xml:space="preserve">falt“ 39. </w:t>
      </w:r>
    </w:p>
  </w:footnote>
  <w:footnote w:id="4">
    <w:p w14:paraId="04EA31F7" w14:textId="77777777" w:rsidR="00FE43EF" w:rsidRDefault="00FE43EF" w:rsidP="0037503E">
      <w:pPr>
        <w:pStyle w:val="Funotentext"/>
      </w:pPr>
      <w:r w:rsidRPr="00DC791A">
        <w:rPr>
          <w:rStyle w:val="Funotenzeichen"/>
        </w:rPr>
        <w:footnoteRef/>
      </w:r>
      <w:r>
        <w:t xml:space="preserve"> Vgl. </w:t>
      </w:r>
      <w:r>
        <w:fldChar w:fldCharType="begin"/>
      </w:r>
      <w:r>
        <w:instrText xml:space="preserve"> ADDIN EN.CITE &lt;EndNote&gt;&lt;Cite&gt;&lt;Author&gt;Härle&lt;/Author&gt;&lt;Year&gt;2005&lt;/Year&gt;&lt;RecNum&gt;923&lt;/RecNum&gt;&lt;DisplayText&gt;Wilfried Härle 2005&lt;/DisplayText&gt;&lt;record&gt;&lt;rec-number&gt;923&lt;/rec-number&gt;&lt;foreign-keys&gt;&lt;key app="EN" db-id="0t0dxv9vetdatmef0a959d9wdwf995aa9dxw" timestamp="0"&gt;923&lt;/key&gt;&lt;/foreign-keys&gt;&lt;ref-type name="Book"&gt;6&lt;/ref-type&gt;&lt;contributors&gt;&lt;authors&gt;&lt;author&gt;Wilfried Härle&lt;/author&gt;&lt;/authors&gt;&lt;/contributors&gt;&lt;titles&gt;&lt;title&gt;Menschsein in Beziehungen. Studien zur Rechtfertigungslehre und Anthropologie&lt;/title&gt;&lt;/titles&gt;&lt;keywords&gt;&lt;keyword&gt;Beziehungen, Mensch, Seelsorge, Rechtfertigung&lt;/keyword&gt;&lt;/keywords&gt;&lt;dates&gt;&lt;year&gt;2005&lt;/year&gt;&lt;/dates&gt;&lt;pub-location&gt;Tübingen&lt;/pub-location&gt;&lt;urls&gt;&lt;/urls&gt;&lt;/record&gt;&lt;/Cite&gt;&lt;/EndNote&gt;</w:instrText>
      </w:r>
      <w:r>
        <w:fldChar w:fldCharType="separate"/>
      </w:r>
      <w:r>
        <w:rPr>
          <w:noProof/>
        </w:rPr>
        <w:t>Wilfried Härle 2005</w:t>
      </w:r>
      <w:r>
        <w:fldChar w:fldCharType="end"/>
      </w:r>
      <w:r>
        <w:t>, 90f.</w:t>
      </w:r>
    </w:p>
  </w:footnote>
  <w:footnote w:id="5">
    <w:p w14:paraId="278B7F1D" w14:textId="3EB5E6B7" w:rsidR="00FE43EF" w:rsidRDefault="00FE43EF" w:rsidP="00426239">
      <w:pPr>
        <w:pStyle w:val="Funotentext"/>
        <w:jc w:val="center"/>
      </w:pPr>
      <w:r w:rsidRPr="00DC791A">
        <w:rPr>
          <w:rStyle w:val="Funotenzeichen"/>
        </w:rPr>
        <w:footnoteRef/>
      </w:r>
      <w:r w:rsidRPr="00DC791A">
        <w:rPr>
          <w:rStyle w:val="Funotenzeichen"/>
        </w:rPr>
        <w:t xml:space="preserve"> </w:t>
      </w:r>
      <w:r>
        <w:t xml:space="preserve">Beide Zitate stammen von Bernd Janowski, in: </w:t>
      </w:r>
      <w:r>
        <w:fldChar w:fldCharType="begin"/>
      </w:r>
      <w:r>
        <w:instrText xml:space="preserve"> ADDIN EN.CITE &lt;EndNote&gt;&lt;Cite&gt;&lt;Author&gt;Wolff&lt;/Author&gt;&lt;Year&gt;2010&lt;/Year&gt;&lt;RecNum&gt;1975&lt;/RecNum&gt;&lt;DisplayText&gt;Hans-Walter Wolff 2010&lt;/DisplayText&gt;&lt;record&gt;&lt;rec-number&gt;1975&lt;/rec-number&gt;&lt;foreign-keys&gt;&lt;key app="EN" db-id="0t0dxv9vetdatmef0a959d9wdwf995aa9dxw" timestamp="1306939732"&gt;1975&lt;/key&gt;&lt;/foreign-keys&gt;&lt;ref-type name="Book"&gt;6&lt;/ref-type&gt;&lt;contributors&gt;&lt;authors&gt;&lt;author&gt;Hans-Walter Wolff&lt;/author&gt;&lt;/authors&gt;&lt;/contributors&gt;&lt;titles&gt;&lt;title&gt;Anthropologie des Alten Testaments. Mit zwei Anhängen neu herausgegeben von Bernd Janowski&lt;/title&gt;&lt;/titles&gt;&lt;dates&gt;&lt;year&gt;2010&lt;/year&gt;&lt;/dates&gt;&lt;pub-location&gt;Gütersloh&lt;/pub-location&gt;&lt;urls&gt;&lt;/urls&gt;&lt;/record&gt;&lt;/Cite&gt;&lt;/EndNote&gt;</w:instrText>
      </w:r>
      <w:r>
        <w:fldChar w:fldCharType="separate"/>
      </w:r>
      <w:r>
        <w:rPr>
          <w:noProof/>
        </w:rPr>
        <w:t>Hans-Walter Wolff 2010</w:t>
      </w:r>
      <w:r>
        <w:fldChar w:fldCharType="end"/>
      </w:r>
      <w:r>
        <w:t>, 389 und 390.</w:t>
      </w:r>
    </w:p>
  </w:footnote>
  <w:footnote w:id="6">
    <w:p w14:paraId="5DBA1823" w14:textId="77777777" w:rsidR="00FE43EF" w:rsidRDefault="00FE43EF" w:rsidP="00426239">
      <w:pPr>
        <w:pStyle w:val="Funotentext"/>
      </w:pPr>
      <w:r w:rsidRPr="00DC791A">
        <w:rPr>
          <w:rStyle w:val="Funotenzeichen"/>
        </w:rPr>
        <w:footnoteRef/>
      </w:r>
      <w:r w:rsidRPr="00DC791A">
        <w:rPr>
          <w:rStyle w:val="Funotenzeichen"/>
        </w:rPr>
        <w:t xml:space="preserve"> </w:t>
      </w:r>
      <w:r>
        <w:t xml:space="preserve">Diese Formulierungen und Überlegungen schließen sich eng an </w:t>
      </w:r>
      <w:r>
        <w:fldChar w:fldCharType="begin"/>
      </w:r>
      <w:r>
        <w:instrText xml:space="preserve"> ADDIN EN.CITE &lt;EndNote&gt;&lt;Cite&gt;&lt;Author&gt;Kettling&lt;/Author&gt;&lt;Year&gt;1981&lt;/Year&gt;&lt;RecNum&gt;1115&lt;/RecNum&gt;&lt;DisplayText&gt;Siegfried Kettling 1981&lt;/DisplayText&gt;&lt;record&gt;&lt;rec-number&gt;1115&lt;/rec-number&gt;&lt;foreign-keys&gt;&lt;key app="EN" db-id="0t0dxv9vetdatmef0a959d9wdwf995aa9dxw" timestamp="0"&gt;1115&lt;/key&gt;&lt;/foreign-keys&gt;&lt;ref-type name="Book"&gt;6&lt;/ref-type&gt;&lt;contributors&gt;&lt;authors&gt;&lt;author&gt;Siegfried Kettling&lt;/author&gt;&lt;/authors&gt;&lt;/contributors&gt;&lt;titles&gt;&lt;title&gt;Wie der Mensch zum Menschen wird&lt;/title&gt;&lt;/titles&gt;&lt;dates&gt;&lt;year&gt;1981&lt;/year&gt;&lt;/dates&gt;&lt;pub-location&gt;Gießen&lt;/pub-location&gt;&lt;urls&gt;&lt;/urls&gt;&lt;/record&gt;&lt;/Cite&gt;&lt;/EndNote&gt;</w:instrText>
      </w:r>
      <w:r>
        <w:fldChar w:fldCharType="separate"/>
      </w:r>
      <w:r>
        <w:rPr>
          <w:noProof/>
        </w:rPr>
        <w:t>Siegfried Kettling 1981</w:t>
      </w:r>
      <w:r>
        <w:fldChar w:fldCharType="end"/>
      </w:r>
      <w:r>
        <w:t>, 25-33, an.</w:t>
      </w:r>
    </w:p>
  </w:footnote>
  <w:footnote w:id="7">
    <w:p w14:paraId="741942B7" w14:textId="77777777" w:rsidR="00FE43EF" w:rsidRDefault="00FE43EF" w:rsidP="00426239">
      <w:pPr>
        <w:pStyle w:val="Funotentext"/>
      </w:pPr>
      <w:r w:rsidRPr="00DC791A">
        <w:rPr>
          <w:rStyle w:val="Funotenzeichen"/>
        </w:rPr>
        <w:footnoteRef/>
      </w:r>
      <w:r>
        <w:t xml:space="preserve"> </w:t>
      </w:r>
      <w:r>
        <w:fldChar w:fldCharType="begin"/>
      </w:r>
      <w:r>
        <w:instrText xml:space="preserve"> ADDIN EN.CITE &lt;EndNote&gt;&lt;Cite&gt;&lt;Author&gt;Jüngel&lt;/Author&gt;&lt;Year&gt;2004&lt;/Year&gt;&lt;RecNum&gt;1790&lt;/RecNum&gt;&lt;DisplayText&gt;Eberhard Jüngel 2004&lt;/DisplayText&gt;&lt;record&gt;&lt;rec-number&gt;1790&lt;/rec-number&gt;&lt;foreign-keys&gt;&lt;key app="EN" db-id="0t0dxv9vetdatmef0a959d9wdwf995aa9dxw" timestamp="1305801828"&gt;1790&lt;/key&gt;&lt;/foreign-keys&gt;&lt;ref-type name="Book"&gt;6&lt;/ref-type&gt;&lt;contributors&gt;&lt;authors&gt;&lt;author&gt;Eberhard Jüngel&lt;/author&gt;&lt;/authors&gt;&lt;/contributors&gt;&lt;titles&gt;&lt;title&gt;Das Evangelium von der Rechtfertigung des Gottlosen als Zentrum des christlichen Glaubens&lt;/title&gt;&lt;/titles&gt;&lt;edition&gt;4. Aufl.&lt;/edition&gt;&lt;keywords&gt;&lt;keyword&gt;Trinität, immanente Trinität, Gott in Beziehung, Zerstörung der Beziehung, Sünde (bes. S. 75-125)&lt;/keyword&gt;&lt;/keywords&gt;&lt;dates&gt;&lt;year&gt;2004&lt;/year&gt;&lt;/dates&gt;&lt;pub-location&gt;Tübingen&lt;/pub-location&gt;&lt;urls&gt;&lt;/urls&gt;&lt;/record&gt;&lt;/Cite&gt;&lt;/EndNote&gt;</w:instrText>
      </w:r>
      <w:r>
        <w:fldChar w:fldCharType="separate"/>
      </w:r>
      <w:r>
        <w:rPr>
          <w:noProof/>
        </w:rPr>
        <w:t>Eberhard Jüngel 2004</w:t>
      </w:r>
      <w:r>
        <w:fldChar w:fldCharType="end"/>
      </w:r>
      <w:r>
        <w:t>, 88.</w:t>
      </w:r>
    </w:p>
  </w:footnote>
  <w:footnote w:id="8">
    <w:p w14:paraId="6D9420D8" w14:textId="56EA033E" w:rsidR="00FE43EF" w:rsidRDefault="00FE43EF" w:rsidP="00426239">
      <w:pPr>
        <w:pStyle w:val="Funotentext"/>
      </w:pPr>
      <w:r w:rsidRPr="00DC791A">
        <w:rPr>
          <w:rStyle w:val="Funotenzeichen"/>
        </w:rPr>
        <w:footnoteRef/>
      </w:r>
      <w:r>
        <w:t xml:space="preserve"> In ihrer Grundgestalt, die hier etwas weiter entwickelt wird, stammt diese Darstellung von </w:t>
      </w:r>
      <w:r>
        <w:fldChar w:fldCharType="begin"/>
      </w:r>
      <w:r>
        <w:instrText xml:space="preserve"> ADDIN EN.CITE &lt;EndNote&gt;&lt;Cite&gt;&lt;Author&gt;Seitz&lt;/Author&gt;&lt;Year&gt;1979&lt;/Year&gt;&lt;RecNum&gt;2129&lt;/RecNum&gt;&lt;DisplayText&gt;Manfred Seitz 1979a, &lt;/DisplayText&gt;&lt;record&gt;&lt;rec-number&gt;2129&lt;/rec-number&gt;&lt;foreign-keys&gt;&lt;key app="EN" db-id="0t0dxv9vetdatmef0a959d9wdwf995aa9dxw" timestamp="1310048339"&gt;2129&lt;/key&gt;&lt;/foreign-keys&gt;&lt;ref-type name="Book Section"&gt;5&lt;/ref-type&gt;&lt;contributors&gt;&lt;authors&gt;&lt;author&gt;Manfred Seitz&lt;/author&gt;&lt;/authors&gt;&lt;secondary-authors&gt;&lt;author&gt;Manfred Seitz&lt;/author&gt;&lt;/secondary-authors&gt;&lt;/contributors&gt;&lt;titles&gt;&lt;title&gt;Was ist Seelsorge - und wie geschieht sie durch Gemeindeglieder&lt;/title&gt;&lt;secondary-title&gt;Praxis des Glaubens. Gottesdienst, Seelsorge und Spiritualität&lt;/secondary-title&gt;&lt;/titles&gt;&lt;pages&gt;73-83&lt;/pages&gt;&lt;edition&gt;2. Aufl. &lt;/edition&gt;&lt;dates&gt;&lt;year&gt;1979&lt;/year&gt;&lt;/dates&gt;&lt;pub-location&gt;Göttingen&lt;/pub-location&gt;&lt;urls&gt;&lt;/urls&gt;&lt;/record&gt;&lt;/Cite&gt;&lt;/EndNote&gt;</w:instrText>
      </w:r>
      <w:r>
        <w:fldChar w:fldCharType="separate"/>
      </w:r>
      <w:r>
        <w:rPr>
          <w:noProof/>
        </w:rPr>
        <w:t xml:space="preserve">Manfred Seitz 1979a, </w:t>
      </w:r>
      <w:r>
        <w:fldChar w:fldCharType="end"/>
      </w:r>
      <w:r>
        <w:t xml:space="preserve">76f. Ein ähnliches Beziehungsnetz zeigt sich bei </w:t>
      </w:r>
      <w:r>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 timestamp="0"&gt;1187&lt;/key&gt;&lt;/foreign-keys&gt;&lt;ref-type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Pr>
          <w:noProof/>
        </w:rPr>
        <w:t>Michael Klessmann 2009</w:t>
      </w:r>
      <w:r>
        <w:fldChar w:fldCharType="end"/>
      </w:r>
      <w:r>
        <w:t>, 35f. Dort heißt es auch (35): „Der Mensch ist ein Wesen, das von und durch Beziehungen lebt, weil Identität nur über Beziehungen entsteht und wächst.“</w:t>
      </w:r>
    </w:p>
  </w:footnote>
  <w:footnote w:id="9">
    <w:p w14:paraId="660D7466" w14:textId="426D5B9B" w:rsidR="00FE43EF" w:rsidRDefault="00FE43EF" w:rsidP="0037503E">
      <w:pPr>
        <w:pStyle w:val="Funotentext"/>
      </w:pPr>
      <w:r w:rsidRPr="00DC791A">
        <w:rPr>
          <w:rStyle w:val="Funotenzeichen"/>
        </w:rPr>
        <w:footnoteRef/>
      </w:r>
      <w:r>
        <w:t xml:space="preserve"> Vgl. dazu z.B. </w:t>
      </w:r>
      <w:r>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 timestamp="0"&gt;1188&lt;/key&gt;&lt;/foreign-keys&gt;&lt;ref-type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fldChar w:fldCharType="separate"/>
      </w:r>
      <w:r>
        <w:rPr>
          <w:noProof/>
        </w:rPr>
        <w:t>Christoph Morgenthaler 2005</w:t>
      </w:r>
      <w:r>
        <w:fldChar w:fldCharType="end"/>
      </w:r>
      <w:r>
        <w:t>, 93-95.</w:t>
      </w:r>
    </w:p>
  </w:footnote>
  <w:footnote w:id="10">
    <w:p w14:paraId="2D375DD3" w14:textId="77777777" w:rsidR="00FE43EF" w:rsidRDefault="00FE43EF" w:rsidP="0037503E">
      <w:pPr>
        <w:pStyle w:val="Funotentext"/>
      </w:pPr>
      <w:r w:rsidRPr="00DC791A">
        <w:rPr>
          <w:rStyle w:val="Funotenzeichen"/>
        </w:rPr>
        <w:footnoteRef/>
      </w:r>
      <w:r>
        <w:t xml:space="preserve"> </w:t>
      </w:r>
      <w:r>
        <w:fldChar w:fldCharType="begin"/>
      </w:r>
      <w:r>
        <w:instrText xml:space="preserve"> ADDIN EN.CITE &lt;EndNote&gt;&lt;Cite&gt;&lt;Author&gt;Härle&lt;/Author&gt;&lt;Year&gt;2005&lt;/Year&gt;&lt;RecNum&gt;923&lt;/RecNum&gt;&lt;DisplayText&gt;Wilfried Härle 2005&lt;/DisplayText&gt;&lt;record&gt;&lt;rec-number&gt;923&lt;/rec-number&gt;&lt;foreign-keys&gt;&lt;key app="EN" db-id="0t0dxv9vetdatmef0a959d9wdwf995aa9dxw" timestamp="0"&gt;923&lt;/key&gt;&lt;/foreign-keys&gt;&lt;ref-type name="Book"&gt;6&lt;/ref-type&gt;&lt;contributors&gt;&lt;authors&gt;&lt;author&gt;Wilfried Härle&lt;/author&gt;&lt;/authors&gt;&lt;/contributors&gt;&lt;titles&gt;&lt;title&gt;Menschsein in Beziehungen. Studien zur Rechtfertigungslehre und Anthropologie&lt;/title&gt;&lt;/titles&gt;&lt;keywords&gt;&lt;keyword&gt;Beziehungen, Mensch, Seelsorge, Rechtfertigung&lt;/keyword&gt;&lt;/keywords&gt;&lt;dates&gt;&lt;year&gt;2005&lt;/year&gt;&lt;/dates&gt;&lt;pub-location&gt;Tübingen&lt;/pub-location&gt;&lt;urls&gt;&lt;/urls&gt;&lt;/record&gt;&lt;/Cite&gt;&lt;/EndNote&gt;</w:instrText>
      </w:r>
      <w:r>
        <w:fldChar w:fldCharType="separate"/>
      </w:r>
      <w:r>
        <w:rPr>
          <w:noProof/>
        </w:rPr>
        <w:t>Wilfried Härle 2005</w:t>
      </w:r>
      <w:r>
        <w:fldChar w:fldCharType="end"/>
      </w:r>
      <w:r>
        <w:t>, 93.</w:t>
      </w:r>
    </w:p>
  </w:footnote>
  <w:footnote w:id="11">
    <w:p w14:paraId="4017404B" w14:textId="77777777" w:rsidR="00FE43EF" w:rsidRDefault="00FE43EF" w:rsidP="0037503E">
      <w:pPr>
        <w:pStyle w:val="Funotentext"/>
      </w:pPr>
      <w:r w:rsidRPr="00DC791A">
        <w:rPr>
          <w:rStyle w:val="Funotenzeichen"/>
        </w:rPr>
        <w:footnoteRef/>
      </w:r>
      <w:r>
        <w:t xml:space="preserve"> Wir werden im Zusammenhang der Eheseelsorge sehen, wie sehr diese Bestimmung in der Tat eine En</w:t>
      </w:r>
      <w:r>
        <w:t>t</w:t>
      </w:r>
      <w:r>
        <w:t>lastung und Befreiung darstellt.</w:t>
      </w:r>
    </w:p>
  </w:footnote>
  <w:footnote w:id="12">
    <w:p w14:paraId="570A5283" w14:textId="4D457CBA" w:rsidR="00FE43EF" w:rsidRDefault="00FE43EF" w:rsidP="0037503E">
      <w:pPr>
        <w:pStyle w:val="Funotentext"/>
      </w:pPr>
      <w:r w:rsidRPr="00DC791A">
        <w:rPr>
          <w:rStyle w:val="Funotenzeichen"/>
        </w:rPr>
        <w:footnoteRef/>
      </w:r>
      <w:r>
        <w:t xml:space="preserve"> Vgl. zur Dimension „Heil“ </w:t>
      </w:r>
      <w:r>
        <w:fldChar w:fldCharType="begin"/>
      </w:r>
      <w:r>
        <w:instrText xml:space="preserve"> ADDIN EN.CITE &lt;EndNote&gt;&lt;Cite&gt;&lt;Author&gt;Guder&lt;/Author&gt;&lt;Year&gt;1998&lt;/Year&gt;&lt;RecNum&gt;718&lt;/RecNum&gt;&lt;DisplayText&gt;Darrel Guder 1998&lt;/DisplayText&gt;&lt;record&gt;&lt;rec-number&gt;718&lt;/rec-number&gt;&lt;foreign-keys&gt;&lt;key app="EN" db-id="0t0dxv9vetdatmef0a959d9wdwf995aa9dxw" timestamp="0"&gt;718&lt;/key&gt;&lt;/foreign-keys&gt;&lt;ref-type name="Book"&gt;6&lt;/ref-type&gt;&lt;contributors&gt;&lt;authors&gt;&lt;author&gt;Darrel Guder&lt;/author&gt;&lt;/authors&gt;&lt;/contributors&gt;&lt;titles&gt;&lt;title&gt;Missional Church. A Vision for the Sendung of the Church in North America&lt;/title&gt;&lt;secondary-title&gt;The Gospel and our Culture Series &lt;/secondary-title&gt;&lt;/titles&gt;&lt;dates&gt;&lt;year&gt;1998&lt;/year&gt;&lt;/dates&gt;&lt;pub-location&gt;Grand Rapids&lt;/pub-location&gt;&lt;urls&gt;&lt;/urls&gt;&lt;/record&gt;&lt;/Cite&gt;&lt;/EndNote&gt;</w:instrText>
      </w:r>
      <w:r>
        <w:fldChar w:fldCharType="separate"/>
      </w:r>
      <w:r>
        <w:rPr>
          <w:noProof/>
        </w:rPr>
        <w:t>Darrel Guder 1998</w:t>
      </w:r>
      <w:r>
        <w:fldChar w:fldCharType="end"/>
      </w:r>
      <w:r>
        <w:t xml:space="preserve">, 180ff. Vgl. zu einem systemischen Ansatz </w:t>
      </w:r>
      <w:r w:rsidRPr="00900D72">
        <w:fldChar w:fldCharType="begin"/>
      </w:r>
      <w:r>
        <w:instrText xml:space="preserve"> ADDIN EN.CITE &lt;EndNote&gt;&lt;Cite&gt;&lt;Author&gt;Morgenthaler&lt;/Author&gt;&lt;Year&gt;2009&lt;/Year&gt;&lt;RecNum&gt;915&lt;/RecNum&gt;&lt;DisplayText&gt;Christoph Morgenthaler 2009&lt;/DisplayText&gt;&lt;record&gt;&lt;rec-number&gt;915&lt;/rec-number&gt;&lt;foreign-keys&gt;&lt;key app="EN" db-id="0t0dxv9vetdatmef0a959d9wdwf995aa9dxw" timestamp="0"&gt;915&lt;/key&gt;&lt;/foreign-keys&gt;&lt;ref-type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rsidRPr="00900D72">
        <w:fldChar w:fldCharType="separate"/>
      </w:r>
      <w:r>
        <w:rPr>
          <w:noProof/>
        </w:rPr>
        <w:t xml:space="preserve"> Christoph Morgenthaler 2009</w:t>
      </w:r>
      <w:r w:rsidRPr="00900D72">
        <w:fldChar w:fldCharType="end"/>
      </w:r>
      <w:r w:rsidRPr="00900D72">
        <w:t>, 121-143.</w:t>
      </w:r>
    </w:p>
  </w:footnote>
  <w:footnote w:id="13">
    <w:p w14:paraId="6FE0EFD0" w14:textId="77777777" w:rsidR="00FE43EF" w:rsidRDefault="00FE43EF" w:rsidP="0037503E">
      <w:pPr>
        <w:pStyle w:val="Funotentext"/>
      </w:pPr>
      <w:r w:rsidRPr="00DC791A">
        <w:rPr>
          <w:rStyle w:val="Funotenzeichen"/>
        </w:rPr>
        <w:footnoteRef/>
      </w:r>
      <w:r>
        <w:t xml:space="preserve"> These 20 der Disputation Luthers, zitiert nach </w:t>
      </w:r>
      <w:r>
        <w:fldChar w:fldCharType="begin"/>
      </w:r>
      <w:r>
        <w:instrText xml:space="preserve"> ADDIN EN.CITE &lt;EndNote&gt;&lt;Cite&gt;&lt;Author&gt;Ebeling&lt;/Author&gt;&lt;Year&gt;1977&lt;/Year&gt;&lt;RecNum&gt;2178&lt;/RecNum&gt;&lt;DisplayText&gt;Gerhard Ebeling 1977&lt;/DisplayText&gt;&lt;record&gt;&lt;rec-number&gt;2178&lt;/rec-number&gt;&lt;foreign-keys&gt;&lt;key app="EN" db-id="0t0dxv9vetdatmef0a959d9wdwf995aa9dxw" timestamp="1311420935"&gt;2178&lt;/key&gt;&lt;/foreign-keys&gt;&lt;ref-type name="Book"&gt;6&lt;/ref-type&gt;&lt;contributors&gt;&lt;authors&gt;&lt;author&gt;Gerhard Ebeling&lt;/author&gt;&lt;/authors&gt;&lt;secondary-authors&gt;&lt;author&gt;Gerhard Ebeling&lt;/author&gt;&lt;/secondary-authors&gt;&lt;/contributors&gt;&lt;titles&gt;&lt;title&gt;Disputatio de homine. Erster Teil: Text und Traditionshintergrund&lt;/title&gt;&lt;secondary-title&gt;Lutherstudien&lt;/secondary-title&gt;&lt;/titles&gt;&lt;number&gt;Bd. 2&lt;/number&gt;&lt;dates&gt;&lt;year&gt;1977&lt;/year&gt;&lt;/dates&gt;&lt;pub-location&gt;Tübingen&lt;/pub-location&gt;&lt;urls&gt;&lt;/urls&gt;&lt;/record&gt;&lt;/Cite&gt;&lt;/EndNote&gt;</w:instrText>
      </w:r>
      <w:r>
        <w:fldChar w:fldCharType="separate"/>
      </w:r>
      <w:r>
        <w:rPr>
          <w:noProof/>
        </w:rPr>
        <w:t>Gerhard Ebeling 1977</w:t>
      </w:r>
      <w:r>
        <w:fldChar w:fldCharType="end"/>
      </w:r>
      <w:r>
        <w:t>, 19.</w:t>
      </w:r>
    </w:p>
  </w:footnote>
  <w:footnote w:id="14">
    <w:p w14:paraId="423BF03A" w14:textId="77777777" w:rsidR="00FE43EF" w:rsidRDefault="00FE43EF" w:rsidP="0037503E">
      <w:pPr>
        <w:pStyle w:val="Funotentext"/>
      </w:pPr>
      <w:r w:rsidRPr="00DC791A">
        <w:rPr>
          <w:rStyle w:val="Funotenzeichen"/>
        </w:rPr>
        <w:footnoteRef/>
      </w:r>
      <w:r>
        <w:t xml:space="preserve"> </w:t>
      </w:r>
      <w:r>
        <w:fldChar w:fldCharType="begin"/>
      </w:r>
      <w:r>
        <w:instrText xml:space="preserve"> ADDIN EN.CITE &lt;EndNote&gt;&lt;Cite&gt;&lt;Author&gt;Seitz&lt;/Author&gt;&lt;Year&gt;1979&lt;/Year&gt;&lt;RecNum&gt;2129&lt;/RecNum&gt;&lt;DisplayText&gt;Manfred Seitz 1979a, &lt;/DisplayText&gt;&lt;record&gt;&lt;rec-number&gt;2129&lt;/rec-number&gt;&lt;foreign-keys&gt;&lt;key app="EN" db-id="0t0dxv9vetdatmef0a959d9wdwf995aa9dxw" timestamp="1310048339"&gt;2129&lt;/key&gt;&lt;/foreign-keys&gt;&lt;ref-type name="Book Section"&gt;5&lt;/ref-type&gt;&lt;contributors&gt;&lt;authors&gt;&lt;author&gt;Manfred Seitz&lt;/author&gt;&lt;/authors&gt;&lt;secondary-authors&gt;&lt;author&gt;Manfred Seitz&lt;/author&gt;&lt;/secondary-authors&gt;&lt;/contributors&gt;&lt;titles&gt;&lt;title&gt;Was ist Seelsorge - und wie geschieht sie durch Gemeindeglieder&lt;/title&gt;&lt;secondary-title&gt;Praxis des Glaubens. Gottesdienst, Seelsorge und Spiritualität&lt;/secondary-title&gt;&lt;/titles&gt;&lt;pages&gt;73-83&lt;/pages&gt;&lt;edition&gt;2. Aufl. &lt;/edition&gt;&lt;dates&gt;&lt;year&gt;1979&lt;/year&gt;&lt;/dates&gt;&lt;pub-location&gt;Göttingen&lt;/pub-location&gt;&lt;urls&gt;&lt;/urls&gt;&lt;/record&gt;&lt;/Cite&gt;&lt;/EndNote&gt;</w:instrText>
      </w:r>
      <w:r>
        <w:fldChar w:fldCharType="separate"/>
      </w:r>
      <w:r>
        <w:rPr>
          <w:noProof/>
        </w:rPr>
        <w:t xml:space="preserve">Manfred Seitz 1979a, </w:t>
      </w:r>
      <w:r>
        <w:fldChar w:fldCharType="end"/>
      </w:r>
      <w:r>
        <w:t>77.</w:t>
      </w:r>
    </w:p>
  </w:footnote>
  <w:footnote w:id="15">
    <w:p w14:paraId="494E9E1E" w14:textId="0955CCEA" w:rsidR="00FE43EF" w:rsidRDefault="00FE43EF" w:rsidP="001D357C">
      <w:pPr>
        <w:pStyle w:val="Funotentext"/>
      </w:pPr>
      <w:r w:rsidRPr="00DC791A">
        <w:rPr>
          <w:rStyle w:val="Funotenzeichen"/>
        </w:rPr>
        <w:footnoteRef/>
      </w:r>
      <w:r>
        <w:t xml:space="preserve"> Diese Metapher verdanke ich Dr. Burghard Krause. Zur Sünde als </w:t>
      </w:r>
      <w:r>
        <w:rPr>
          <w:rFonts w:eastAsia="Arial"/>
        </w:rPr>
        <w:t xml:space="preserve">„Abwendung von der Gemeinschaft“ und „Trennung von Gott“ vgl. </w:t>
      </w:r>
      <w:r>
        <w:fldChar w:fldCharType="begin"/>
      </w:r>
      <w:r>
        <w:instrText xml:space="preserve"> ADDIN EN.CITE &lt;EndNote&gt;&lt;Cite&gt;&lt;Author&gt;Eckstein&lt;/Author&gt;&lt;Year&gt;2004&lt;/Year&gt;&lt;RecNum&gt;1135&lt;/RecNum&gt;&lt;DisplayText&gt;Hans-Joachim Eckstein 2004, &lt;/DisplayText&gt;&lt;record&gt;&lt;rec-number&gt;1135&lt;/rec-number&gt;&lt;foreign-keys&gt;&lt;key app="EN" db-id="0t0dxv9vetdatmef0a959d9wdwf995aa9dxw" timestamp="0"&gt;1135&lt;/key&gt;&lt;/foreign-keys&gt;&lt;ref-type name="Journal Article"&gt;17&lt;/ref-type&gt;&lt;contributors&gt;&lt;authors&gt;&lt;author&gt;Hans-Joachim Eckstein&lt;/author&gt;&lt;/authors&gt;&lt;/contributors&gt;&lt;titles&gt;&lt;title&gt;Gott ist es, der rechtfertigt. Rechtfertigung als Zentrum paulinischer Theologie?&lt;/title&gt;&lt;secondary-title&gt;ZNT&lt;/secondary-title&gt;&lt;/titles&gt;&lt;pages&gt;41-48&lt;/pages&gt;&lt;volume&gt;14 (7. Jahrgang)&lt;/volume&gt;&lt;keywords&gt;&lt;keyword&gt;Beziehungen, Mensch, Seelsorge, Rechtfertigung&lt;/keyword&gt;&lt;/keywords&gt;&lt;dates&gt;&lt;year&gt;2004&lt;/year&gt;&lt;/dates&gt;&lt;urls&gt;&lt;/urls&gt;&lt;/record&gt;&lt;/Cite&gt;&lt;/EndNote&gt;</w:instrText>
      </w:r>
      <w:r>
        <w:fldChar w:fldCharType="separate"/>
      </w:r>
      <w:r>
        <w:rPr>
          <w:noProof/>
        </w:rPr>
        <w:t xml:space="preserve">Hans-Joachim Eckstein 2004, </w:t>
      </w:r>
      <w:r>
        <w:fldChar w:fldCharType="end"/>
      </w:r>
      <w:r>
        <w:t>45.</w:t>
      </w:r>
    </w:p>
  </w:footnote>
  <w:footnote w:id="16">
    <w:p w14:paraId="6039381A" w14:textId="77777777" w:rsidR="00FE43EF" w:rsidRDefault="00FE43EF" w:rsidP="0037503E">
      <w:pPr>
        <w:pStyle w:val="Funotentext"/>
      </w:pPr>
      <w:r w:rsidRPr="00DC791A">
        <w:rPr>
          <w:rStyle w:val="Funotenzeichen"/>
        </w:rPr>
        <w:footnoteRef/>
      </w:r>
      <w:r w:rsidRPr="00DC791A">
        <w:rPr>
          <w:rStyle w:val="Funotenzeichen"/>
        </w:rPr>
        <w:t xml:space="preserve"> </w:t>
      </w:r>
      <w:r>
        <w:fldChar w:fldCharType="begin"/>
      </w:r>
      <w:r>
        <w:instrText xml:space="preserve"> ADDIN EN.CITE &lt;EndNote&gt;&lt;Cite&gt;&lt;Author&gt;Jüngel&lt;/Author&gt;&lt;Year&gt;2004&lt;/Year&gt;&lt;RecNum&gt;1790&lt;/RecNum&gt;&lt;DisplayText&gt;Eberhard Jüngel 2004&lt;/DisplayText&gt;&lt;record&gt;&lt;rec-number&gt;1790&lt;/rec-number&gt;&lt;foreign-keys&gt;&lt;key app="EN" db-id="0t0dxv9vetdatmef0a959d9wdwf995aa9dxw" timestamp="1305801828"&gt;1790&lt;/key&gt;&lt;/foreign-keys&gt;&lt;ref-type name="Book"&gt;6&lt;/ref-type&gt;&lt;contributors&gt;&lt;authors&gt;&lt;author&gt;Eberhard Jüngel&lt;/author&gt;&lt;/authors&gt;&lt;/contributors&gt;&lt;titles&gt;&lt;title&gt;Das Evangelium von der Rechtfertigung des Gottlosen als Zentrum des christlichen Glaubens&lt;/title&gt;&lt;/titles&gt;&lt;edition&gt;4. Aufl.&lt;/edition&gt;&lt;keywords&gt;&lt;keyword&gt;Trinität, immanente Trinität, Gott in Beziehung, Zerstörung der Beziehung, Sünde (bes. S. 75-125)&lt;/keyword&gt;&lt;/keywords&gt;&lt;dates&gt;&lt;year&gt;2004&lt;/year&gt;&lt;/dates&gt;&lt;pub-location&gt;Tübingen&lt;/pub-location&gt;&lt;urls&gt;&lt;/urls&gt;&lt;/record&gt;&lt;/Cite&gt;&lt;/EndNote&gt;</w:instrText>
      </w:r>
      <w:r>
        <w:fldChar w:fldCharType="separate"/>
      </w:r>
      <w:r>
        <w:rPr>
          <w:noProof/>
        </w:rPr>
        <w:t>Eberhard Jüngel 2004</w:t>
      </w:r>
      <w:r>
        <w:fldChar w:fldCharType="end"/>
      </w:r>
      <w:r>
        <w:t>, 95.</w:t>
      </w:r>
    </w:p>
  </w:footnote>
  <w:footnote w:id="17">
    <w:p w14:paraId="0E2A2EF7" w14:textId="77777777" w:rsidR="00FE43EF" w:rsidRDefault="00FE43EF" w:rsidP="0037503E">
      <w:pPr>
        <w:pStyle w:val="Funotentext"/>
      </w:pPr>
      <w:r w:rsidRPr="00DC791A">
        <w:rPr>
          <w:rStyle w:val="Funotenzeichen"/>
        </w:rPr>
        <w:footnoteRef/>
      </w:r>
      <w:r w:rsidRPr="00DC791A">
        <w:rPr>
          <w:rStyle w:val="Funotenzeichen"/>
        </w:rPr>
        <w:t xml:space="preserve"> </w:t>
      </w:r>
      <w:r>
        <w:fldChar w:fldCharType="begin"/>
      </w:r>
      <w:r>
        <w:instrText xml:space="preserve"> ADDIN EN.CITE &lt;EndNote&gt;&lt;Cite&gt;&lt;Author&gt;Eberhardt&lt;/Author&gt;&lt;Year&gt;1993&lt;/Year&gt;&lt;RecNum&gt;1710&lt;/RecNum&gt;&lt;DisplayText&gt;Hermann Eberhardt 1993&lt;/DisplayText&gt;&lt;record&gt;&lt;rec-number&gt;1710&lt;/rec-number&gt;&lt;foreign-keys&gt;&lt;key app="EN" db-id="0t0dxv9vetdatmef0a959d9wdwf995aa9dxw" timestamp="1304415621"&gt;1710&lt;/key&gt;&lt;/foreign-keys&gt;&lt;ref-type name="Book"&gt;6&lt;/ref-type&gt;&lt;contributors&gt;&lt;authors&gt;&lt;author&gt;Hermann Eberhardt&lt;/author&gt;&lt;/authors&gt;&lt;/contributors&gt;&lt;titles&gt;&lt;title&gt;Praktische Seel-Sorge-Theologie. Entwurf einer Seelsorge-Lehre im Horizont von Bibel und Erfahrung&lt;/title&gt;&lt;/titles&gt;&lt;edition&gt;2. überarbeitete Aufl. &lt;/edition&gt;&lt;dates&gt;&lt;year&gt;1993&lt;/year&gt;&lt;/dates&gt;&lt;pub-location&gt;Bielefeld&lt;/pub-location&gt;&lt;urls&gt;&lt;/urls&gt;&lt;/record&gt;&lt;/Cite&gt;&lt;/EndNote&gt;</w:instrText>
      </w:r>
      <w:r>
        <w:fldChar w:fldCharType="separate"/>
      </w:r>
      <w:r>
        <w:rPr>
          <w:noProof/>
        </w:rPr>
        <w:t>Hermann Eberhardt 1993</w:t>
      </w:r>
      <w:r>
        <w:fldChar w:fldCharType="end"/>
      </w:r>
      <w:r>
        <w:t>, 184.</w:t>
      </w:r>
    </w:p>
  </w:footnote>
  <w:footnote w:id="18">
    <w:p w14:paraId="03587454" w14:textId="77777777" w:rsidR="00FE43EF" w:rsidRDefault="00FE43EF" w:rsidP="0037503E">
      <w:pPr>
        <w:pStyle w:val="Funotentext"/>
      </w:pPr>
      <w:r w:rsidRPr="00DC791A">
        <w:rPr>
          <w:rStyle w:val="Funotenzeichen"/>
        </w:rPr>
        <w:footnoteRef/>
      </w:r>
      <w:r w:rsidRPr="00DC791A">
        <w:rPr>
          <w:rStyle w:val="Funotenzeichen"/>
        </w:rPr>
        <w:t xml:space="preserve"> </w:t>
      </w:r>
      <w:r>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 timestamp="0"&gt;1187&lt;/key&gt;&lt;/foreign-keys&gt;&lt;ref-type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Pr>
          <w:noProof/>
        </w:rPr>
        <w:t>Michael Klessmann 2009</w:t>
      </w:r>
      <w:r>
        <w:fldChar w:fldCharType="end"/>
      </w:r>
      <w:r>
        <w:t xml:space="preserve">, 36: „Die Beziehungsfähigkeit des Menschen ist […] eingeschränkt, gestört und verzerrt; nichts anderes meint die Bibel, wenn sie von der Sünde des Menschen spricht. Sünde kann verstanden werden als ein Kommunikations- und Lebenszusammenhang, der durch </w:t>
      </w:r>
      <w:proofErr w:type="spellStart"/>
      <w:r>
        <w:t>Unversöhntheit</w:t>
      </w:r>
      <w:proofErr w:type="spellEnd"/>
      <w:r>
        <w:t xml:space="preserve">, Hoffnungslosigkeit und Lieblosigkeit gekennzeichnet ist und deswegen Beziehungen immer wieder scheitern und zerbrechen lässt.“ </w:t>
      </w:r>
    </w:p>
  </w:footnote>
  <w:footnote w:id="19">
    <w:p w14:paraId="2E8EB81A" w14:textId="77777777" w:rsidR="00FE43EF" w:rsidRDefault="00FE43EF" w:rsidP="0037503E">
      <w:pPr>
        <w:pStyle w:val="Funotentext"/>
      </w:pPr>
      <w:r w:rsidRPr="00DC791A">
        <w:rPr>
          <w:rStyle w:val="Funotenzeichen"/>
        </w:rPr>
        <w:footnoteRef/>
      </w:r>
      <w:r>
        <w:t xml:space="preserve"> </w:t>
      </w:r>
      <w:r>
        <w:fldChar w:fldCharType="begin"/>
      </w:r>
      <w:r>
        <w:instrText xml:space="preserve"> ADDIN EN.CITE &lt;EndNote&gt;&lt;Cite&gt;&lt;Author&gt;Zulehner&lt;/Author&gt;&lt;Year&gt;1994&lt;/Year&gt;&lt;RecNum&gt;956&lt;/RecNum&gt;&lt;DisplayText&gt;Paul M. Zulehner 1994&lt;/DisplayText&gt;&lt;record&gt;&lt;rec-number&gt;956&lt;/rec-number&gt;&lt;foreign-keys&gt;&lt;key app="EN" db-id="0t0dxv9vetdatmef0a959d9wdwf995aa9dxw" timestamp="0"&gt;956&lt;/key&gt;&lt;/foreign-keys&gt;&lt;ref-type name="Book"&gt;6&lt;/ref-type&gt;&lt;contributors&gt;&lt;authors&gt;&lt;author&gt;Paul M. Zulehner&lt;/author&gt;&lt;/authors&gt;&lt;/contributors&gt;&lt;titles&gt;&lt;title&gt;Kleine Lebenswelten. Zur Kultur der Beziehungen zwischen Mann und Frau.&lt;/title&gt;&lt;secondary-title&gt;Bonifatius Kontur&lt;/secondary-title&gt;&lt;/titles&gt;&lt;number&gt;Bd. 7958&lt;/number&gt;&lt;edition&gt;3. Aufl. &lt;/edition&gt;&lt;dates&gt;&lt;year&gt;1994&lt;/year&gt;&lt;/dates&gt;&lt;pub-location&gt;Paderborn&lt;/pub-location&gt;&lt;urls&gt;&lt;/urls&gt;&lt;/record&gt;&lt;/Cite&gt;&lt;/EndNote&gt;</w:instrText>
      </w:r>
      <w:r>
        <w:fldChar w:fldCharType="separate"/>
      </w:r>
      <w:r>
        <w:rPr>
          <w:noProof/>
        </w:rPr>
        <w:t>Paul M. Zulehner 1994</w:t>
      </w:r>
      <w:r>
        <w:fldChar w:fldCharType="end"/>
      </w:r>
      <w:r>
        <w:t>, 21.</w:t>
      </w:r>
    </w:p>
  </w:footnote>
  <w:footnote w:id="20">
    <w:p w14:paraId="36DC1918" w14:textId="6056F8F8" w:rsidR="00FE43EF" w:rsidRDefault="00FE43EF" w:rsidP="001D357C">
      <w:pPr>
        <w:pStyle w:val="Funotentext"/>
      </w:pPr>
      <w:r w:rsidRPr="00DC791A">
        <w:rPr>
          <w:rStyle w:val="Funotenzeichen"/>
        </w:rPr>
        <w:footnoteRef/>
      </w:r>
      <w:r>
        <w:t xml:space="preserve"> Vgl. </w:t>
      </w:r>
      <w:r>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 timestamp="0"&gt;1188&lt;/key&gt;&lt;/foreign-keys&gt;&lt;ref-type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fldChar w:fldCharType="separate"/>
      </w:r>
      <w:r>
        <w:rPr>
          <w:noProof/>
        </w:rPr>
        <w:t>Christoph Morgenthaler 2005</w:t>
      </w:r>
      <w:r>
        <w:fldChar w:fldCharType="end"/>
      </w:r>
      <w:r>
        <w:t>, 40 (und durchgängig in der systemischen Seelsorge, z.B. auch 133-139).</w:t>
      </w:r>
      <w:r w:rsidRPr="00E032A8">
        <w:t xml:space="preserve"> </w:t>
      </w:r>
      <w:r>
        <w:t xml:space="preserve">Vgl.  auch </w:t>
      </w:r>
      <w:r>
        <w:fldChar w:fldCharType="begin"/>
      </w:r>
      <w:r>
        <w:instrText xml:space="preserve"> ADDIN EN.CITE &lt;EndNote&gt;&lt;Cite&gt;&lt;Author&gt;Zulehner&lt;/Author&gt;&lt;Year&gt;1994&lt;/Year&gt;&lt;RecNum&gt;956&lt;/RecNum&gt;&lt;DisplayText&gt;Ibid.&lt;/DisplayText&gt;&lt;record&gt;&lt;rec-number&gt;956&lt;/rec-number&gt;&lt;foreign-keys&gt;&lt;key app="EN" db-id="0t0dxv9vetdatmef0a959d9wdwf995aa9dxw" timestamp="0"&gt;956&lt;/key&gt;&lt;/foreign-keys&gt;&lt;ref-type name="Book"&gt;6&lt;/ref-type&gt;&lt;contributors&gt;&lt;authors&gt;&lt;author&gt;Paul M. Zulehner&lt;/author&gt;&lt;/authors&gt;&lt;/contributors&gt;&lt;titles&gt;&lt;title&gt;Kleine Lebenswelten. Zur Kultur der Beziehungen zwischen Mann und Frau.&lt;/title&gt;&lt;secondary-title&gt;Bonifatius Kontur&lt;/secondary-title&gt;&lt;/titles&gt;&lt;number&gt;Bd. 7958&lt;/number&gt;&lt;edition&gt;3. Aufl. &lt;/edition&gt;&lt;dates&gt;&lt;year&gt;1994&lt;/year&gt;&lt;/dates&gt;&lt;pub-location&gt;Paderborn&lt;/pub-location&gt;&lt;urls&gt;&lt;/urls&gt;&lt;/record&gt;&lt;/Cite&gt;&lt;/EndNote&gt;</w:instrText>
      </w:r>
      <w:r>
        <w:fldChar w:fldCharType="separate"/>
      </w:r>
      <w:r>
        <w:rPr>
          <w:noProof/>
        </w:rPr>
        <w:t>Ibid.</w:t>
      </w:r>
      <w:r>
        <w:fldChar w:fldCharType="end"/>
      </w:r>
      <w:r>
        <w:t>, 26-28, 45f.</w:t>
      </w:r>
    </w:p>
  </w:footnote>
  <w:footnote w:id="21">
    <w:p w14:paraId="05BDE098" w14:textId="77777777" w:rsidR="00FE43EF" w:rsidRDefault="00FE43EF" w:rsidP="0037503E">
      <w:pPr>
        <w:pStyle w:val="Funotentext"/>
      </w:pPr>
      <w:r w:rsidRPr="00DC791A">
        <w:rPr>
          <w:rStyle w:val="Funotenzeichen"/>
        </w:rPr>
        <w:footnoteRef/>
      </w:r>
      <w:r w:rsidRPr="00DC791A">
        <w:rPr>
          <w:rStyle w:val="Funotenzeichen"/>
        </w:rPr>
        <w:t xml:space="preserve"> </w:t>
      </w:r>
      <w:r>
        <w:t xml:space="preserve">Vgl. </w:t>
      </w:r>
      <w:r>
        <w:fldChar w:fldCharType="begin"/>
      </w:r>
      <w:r>
        <w:instrText xml:space="preserve"> ADDIN EN.CITE &lt;EndNote&gt;&lt;Cite&gt;&lt;Author&gt;Rolf&lt;/Author&gt;&lt;Year&gt;2003&lt;/Year&gt;&lt;RecNum&gt;1681&lt;/RecNum&gt;&lt;DisplayText&gt;Sibylle Rolf 2003&lt;/DisplayText&gt;&lt;record&gt;&lt;rec-number&gt;1681&lt;/rec-number&gt;&lt;foreign-keys&gt;&lt;key app="EN" db-id="0t0dxv9vetdatmef0a959d9wdwf995aa9dxw" timestamp="1303559154"&gt;1681&lt;/key&gt;&lt;/foreign-keys&gt;&lt;ref-type name="Book"&gt;6&lt;/ref-type&gt;&lt;contributors&gt;&lt;authors&gt;&lt;author&gt;Sibylle Rolf&lt;/author&gt;&lt;/authors&gt;&lt;secondary-authors&gt;&lt;author&gt;Heinz Schmidt&lt;/author&gt;&lt;author&gt;Christian Möller&lt;/author&gt;&lt;author&gt;Helmut Schwier&lt;/author&gt;&lt;/secondary-authors&gt;&lt;/contributors&gt;&lt;titles&gt;&lt;title&gt;Vom Sinn zum Trost. Überlegungen zur Seelsorge im Horizont einer relationalen Ontologie&lt;/title&gt;&lt;secondary-title&gt;Heidelberger Studien zur Praktischen Theologie&lt;/secondary-title&gt;&lt;/titles&gt;&lt;number&gt;Bd. 6&lt;/number&gt;&lt;dates&gt;&lt;year&gt;2003&lt;/year&gt;&lt;/dates&gt;&lt;pub-location&gt;Münster&lt;/pub-location&gt;&lt;urls&gt;&lt;/urls&gt;&lt;/record&gt;&lt;/Cite&gt;&lt;/EndNote&gt;</w:instrText>
      </w:r>
      <w:r>
        <w:fldChar w:fldCharType="separate"/>
      </w:r>
      <w:r>
        <w:rPr>
          <w:noProof/>
        </w:rPr>
        <w:t>Sibylle Rolf 2003</w:t>
      </w:r>
      <w:r>
        <w:fldChar w:fldCharType="end"/>
      </w:r>
      <w:r>
        <w:t>, 159.</w:t>
      </w:r>
    </w:p>
  </w:footnote>
  <w:footnote w:id="22">
    <w:p w14:paraId="39BB0769" w14:textId="6345AA62" w:rsidR="00FE43EF" w:rsidRDefault="00FE43EF" w:rsidP="0037503E">
      <w:pPr>
        <w:pStyle w:val="Funotentext"/>
      </w:pPr>
      <w:r w:rsidRPr="00DC791A">
        <w:rPr>
          <w:rStyle w:val="Funotenzeichen"/>
        </w:rPr>
        <w:footnoteRef/>
      </w:r>
      <w:r>
        <w:t xml:space="preserve"> </w:t>
      </w:r>
      <w:r>
        <w:fldChar w:fldCharType="begin"/>
      </w:r>
      <w:r>
        <w:instrText xml:space="preserve"> ADDIN EN.CITE &lt;EndNote&gt;&lt;Cite&gt;&lt;Author&gt;Härle&lt;/Author&gt;&lt;Year&gt;2005&lt;/Year&gt;&lt;RecNum&gt;923&lt;/RecNum&gt;&lt;DisplayText&gt;Wilfried Härle 2005&lt;/DisplayText&gt;&lt;record&gt;&lt;rec-number&gt;923&lt;/rec-number&gt;&lt;foreign-keys&gt;&lt;key app="EN" db-id="0t0dxv9vetdatmef0a959d9wdwf995aa9dxw" timestamp="0"&gt;923&lt;/key&gt;&lt;/foreign-keys&gt;&lt;ref-type name="Book"&gt;6&lt;/ref-type&gt;&lt;contributors&gt;&lt;authors&gt;&lt;author&gt;Wilfried Härle&lt;/author&gt;&lt;/authors&gt;&lt;/contributors&gt;&lt;titles&gt;&lt;title&gt;Menschsein in Beziehungen. Studien zur Rechtfertigungslehre und Anthropologie&lt;/title&gt;&lt;/titles&gt;&lt;keywords&gt;&lt;keyword&gt;Beziehungen, Mensch, Seelsorge, Rechtfertigung&lt;/keyword&gt;&lt;/keywords&gt;&lt;dates&gt;&lt;year&gt;2005&lt;/year&gt;&lt;/dates&gt;&lt;pub-location&gt;Tübingen&lt;/pub-location&gt;&lt;urls&gt;&lt;/urls&gt;&lt;/record&gt;&lt;/Cite&gt;&lt;/EndNote&gt;</w:instrText>
      </w:r>
      <w:r>
        <w:fldChar w:fldCharType="separate"/>
      </w:r>
      <w:r>
        <w:rPr>
          <w:noProof/>
        </w:rPr>
        <w:t>Wilfried Härle 2005</w:t>
      </w:r>
      <w:r>
        <w:fldChar w:fldCharType="end"/>
      </w:r>
      <w:r>
        <w:t xml:space="preserve">, 89. Vgl. insgesamt </w:t>
      </w:r>
      <w:r>
        <w:fldChar w:fldCharType="begin"/>
      </w:r>
      <w:r>
        <w:instrText xml:space="preserve"> ADDIN EN.CITE &lt;EndNote&gt;&lt;Cite&gt;&lt;Author&gt;Härle&lt;/Author&gt;&lt;Year&gt;2005&lt;/Year&gt;&lt;RecNum&gt;923&lt;/RecNum&gt;&lt;DisplayText&gt;Wilfried Härle 2005&lt;/DisplayText&gt;&lt;record&gt;&lt;rec-number&gt;923&lt;/rec-number&gt;&lt;foreign-keys&gt;&lt;key app="EN" db-id="0t0dxv9vetdatmef0a959d9wdwf995aa9dxw" timestamp="0"&gt;923&lt;/key&gt;&lt;/foreign-keys&gt;&lt;ref-type name="Book"&gt;6&lt;/ref-type&gt;&lt;contributors&gt;&lt;authors&gt;&lt;author&gt;Wilfried Härle&lt;/author&gt;&lt;/authors&gt;&lt;/contributors&gt;&lt;titles&gt;&lt;title&gt;Menschsein in Beziehungen. Studien zur Rechtfertigungslehre und Anthropologie&lt;/title&gt;&lt;/titles&gt;&lt;keywords&gt;&lt;keyword&gt;Beziehungen, Mensch, Seelsorge, Rechtfertigung&lt;/keyword&gt;&lt;/keywords&gt;&lt;dates&gt;&lt;year&gt;2005&lt;/year&gt;&lt;/dates&gt;&lt;pub-location&gt;Tübingen&lt;/pub-location&gt;&lt;urls&gt;&lt;/urls&gt;&lt;/record&gt;&lt;/Cite&gt;&lt;/EndNote&gt;</w:instrText>
      </w:r>
      <w:r>
        <w:fldChar w:fldCharType="separate"/>
      </w:r>
      <w:r>
        <w:rPr>
          <w:noProof/>
        </w:rPr>
        <w:t>Wilfried Härle 2005</w:t>
      </w:r>
      <w:r>
        <w:fldChar w:fldCharType="end"/>
      </w:r>
      <w:r>
        <w:t>, 97-104.</w:t>
      </w:r>
    </w:p>
  </w:footnote>
  <w:footnote w:id="23">
    <w:p w14:paraId="4F11EF98" w14:textId="77777777" w:rsidR="00FE43EF" w:rsidRDefault="00FE43EF" w:rsidP="0037503E">
      <w:pPr>
        <w:pStyle w:val="Funotentext"/>
      </w:pPr>
      <w:r w:rsidRPr="00DC791A">
        <w:rPr>
          <w:rStyle w:val="Funotenzeichen"/>
        </w:rPr>
        <w:footnoteRef/>
      </w:r>
      <w:r>
        <w:t xml:space="preserve"> Den Begriff prägte Manfred Seitz. Zur Sache vgl. auch </w:t>
      </w:r>
      <w:r>
        <w:fldChar w:fldCharType="begin"/>
      </w:r>
      <w:r>
        <w:instrText xml:space="preserve"> ADDIN EN.CITE &lt;EndNote&gt;&lt;Cite&gt;&lt;Author&gt;Seitz&lt;/Author&gt;&lt;Year&gt;1979&lt;/Year&gt;&lt;RecNum&gt;1225&lt;/RecNum&gt;&lt;DisplayText&gt;Manfred Seitz 1979c&lt;/DisplayText&gt;&lt;record&gt;&lt;rec-number&gt;1225&lt;/rec-number&gt;&lt;foreign-keys&gt;&lt;key app="EN" db-id="0t0dxv9vetdatmef0a959d9wdwf995aa9dxw" timestamp="0"&gt;1225&lt;/key&gt;&lt;/foreign-keys&gt;&lt;ref-type name="Book"&gt;6&lt;/ref-type&gt;&lt;contributors&gt;&lt;authors&gt;&lt;author&gt;Manfred Seitz&lt;/author&gt;&lt;/authors&gt;&lt;/contributors&gt;&lt;titles&gt;&lt;title&gt;Praxis des Glaubens&lt;/title&gt;&lt;/titles&gt;&lt;edition&gt;2. Aufl. &lt;/edition&gt;&lt;dates&gt;&lt;year&gt;1979&lt;/year&gt;&lt;/dates&gt;&lt;pub-location&gt;Göttingen&lt;/pub-location&gt;&lt;urls&gt;&lt;/urls&gt;&lt;/record&gt;&lt;/Cite&gt;&lt;/EndNote&gt;</w:instrText>
      </w:r>
      <w:r>
        <w:fldChar w:fldCharType="separate"/>
      </w:r>
      <w:r>
        <w:rPr>
          <w:noProof/>
        </w:rPr>
        <w:t>Manfred Seitz 1979c</w:t>
      </w:r>
      <w:r>
        <w:fldChar w:fldCharType="end"/>
      </w:r>
      <w:r>
        <w:t>, 95.</w:t>
      </w:r>
    </w:p>
  </w:footnote>
  <w:footnote w:id="24">
    <w:p w14:paraId="6F86393E" w14:textId="77777777" w:rsidR="00FE43EF" w:rsidRDefault="00FE43EF" w:rsidP="0037503E">
      <w:pPr>
        <w:pStyle w:val="Funotentext"/>
      </w:pPr>
      <w:r w:rsidRPr="00CA467C">
        <w:rPr>
          <w:rStyle w:val="Funotenzeichen"/>
        </w:rPr>
        <w:footnoteRef/>
      </w:r>
      <w:r>
        <w:t xml:space="preserve"> Vgl. auch ausführlicher zur Beziehungsgestaltung in der Seelsorge </w:t>
      </w:r>
      <w:r>
        <w:fldChar w:fldCharType="begin"/>
      </w:r>
      <w:r>
        <w:instrText xml:space="preserve"> ADDIN EN.CITE &lt;EndNote&gt;&lt;Cite&gt;&lt;Author&gt;Ziemer&lt;/Author&gt;&lt;Year&gt;2000&lt;/Year&gt;&lt;RecNum&gt;840&lt;/RecNum&gt;&lt;DisplayText&gt;Jürgen Ziemer 2000&lt;/DisplayText&gt;&lt;record&gt;&lt;rec-number&gt;840&lt;/rec-number&gt;&lt;foreign-keys&gt;&lt;key app="EN" db-id="0t0dxv9vetdatmef0a959d9wdwf995aa9dxw" timestamp="0"&gt;840&lt;/key&gt;&lt;/foreign-keys&gt;&lt;ref-type name="Book"&gt;6&lt;/ref-type&gt;&lt;contributors&gt;&lt;authors&gt;&lt;author&gt;Jürgen Ziemer&lt;/author&gt;&lt;/authors&gt;&lt;/contributors&gt;&lt;titles&gt;&lt;title&gt;Seelsorgelehre. Eine Einführung für Studium und Praxis&lt;/title&gt;&lt;/titles&gt;&lt;dates&gt;&lt;year&gt;2000&lt;/year&gt;&lt;/dates&gt;&lt;pub-location&gt;Stuttgart&lt;/pub-location&gt;&lt;urls&gt;&lt;/urls&gt;&lt;/record&gt;&lt;/Cite&gt;&lt;/EndNote&gt;</w:instrText>
      </w:r>
      <w:r>
        <w:fldChar w:fldCharType="separate"/>
      </w:r>
      <w:r>
        <w:rPr>
          <w:noProof/>
        </w:rPr>
        <w:t>Jürgen Ziemer 2000</w:t>
      </w:r>
      <w:r>
        <w:fldChar w:fldCharType="end"/>
      </w:r>
      <w:r>
        <w:t>, 143-157.</w:t>
      </w:r>
    </w:p>
  </w:footnote>
  <w:footnote w:id="25">
    <w:p w14:paraId="0B4EF3D1" w14:textId="77777777" w:rsidR="00FE43EF" w:rsidRDefault="00FE43EF" w:rsidP="0037503E">
      <w:pPr>
        <w:pStyle w:val="Funotentext"/>
      </w:pPr>
      <w:r w:rsidRPr="00CA467C">
        <w:rPr>
          <w:rStyle w:val="Funotenzeichen"/>
        </w:rPr>
        <w:footnoteRef/>
      </w:r>
      <w:r>
        <w:t xml:space="preserve"> </w:t>
      </w:r>
      <w:r>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 timestamp="0"&gt;1187&lt;/key&gt;&lt;/foreign-keys&gt;&lt;ref-type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fldChar w:fldCharType="separate"/>
      </w:r>
      <w:r>
        <w:rPr>
          <w:noProof/>
        </w:rPr>
        <w:t>Michael Klessmann 2009</w:t>
      </w:r>
      <w:r>
        <w:fldChar w:fldCharType="end"/>
      </w:r>
      <w:r>
        <w:t>, 36.</w:t>
      </w:r>
    </w:p>
  </w:footnote>
  <w:footnote w:id="26">
    <w:p w14:paraId="1A317000" w14:textId="5B83A48D" w:rsidR="004F2AE4" w:rsidRDefault="004F2AE4" w:rsidP="004F2AE4">
      <w:pPr>
        <w:pStyle w:val="Funotentext"/>
      </w:pPr>
      <w:r w:rsidRPr="00CA467C">
        <w:rPr>
          <w:rStyle w:val="Funotenzeichen"/>
        </w:rPr>
        <w:footnoteRef/>
      </w:r>
      <w:r>
        <w:t xml:space="preserve"> </w:t>
      </w:r>
      <w:r w:rsidRPr="00900D72">
        <w:t xml:space="preserve">Vgl. z.B. </w:t>
      </w:r>
      <w:r w:rsidRPr="00900D72">
        <w:fldChar w:fldCharType="begin"/>
      </w:r>
      <w:r>
        <w:instrText xml:space="preserve"> ADDIN EN.CITE &lt;EndNote&gt;&lt;Cite&gt;&lt;Author&gt;Luther&lt;/Author&gt;&lt;Year&gt;1992&lt;/Year&gt;&lt;RecNum&gt;1150&lt;/RecNum&gt;&lt;DisplayText&gt;Henning Luther 1992, ; Henning Luther 1991, &lt;/DisplayText&gt;&lt;record&gt;&lt;rec-number&gt;1150&lt;/rec-number&gt;&lt;foreign-keys&gt;&lt;key app="EN" db-id="0t0dxv9vetdatmef0a959d9wdwf995aa9dxw" timestamp="0"&gt;1150&lt;/key&gt;&lt;/foreign-keys&gt;&lt;ref-type name="Book Section"&gt;5&lt;/ref-type&gt;&lt;contributors&gt;&lt;authors&gt;&lt;author&gt;Henning Luther&lt;/author&gt;&lt;/authors&gt;&lt;secondary-authors&gt;&lt;author&gt;Henning Luther&lt;/author&gt;&lt;/secondary-authors&gt;&lt;/contributors&gt;&lt;titles&gt;&lt;title&gt;Identität und Fragment. Praktisch-theologische Überlegungen zur Unabschließbarkeit von Bildungsprozessen&lt;/title&gt;&lt;secondary-title&gt;Religion und Alltag. Bausteine zu einer Praktischen Theologie des Subjekts&lt;/secondary-title&gt;&lt;/titles&gt;&lt;pages&gt;160-182&lt;/pages&gt;&lt;dates&gt;&lt;year&gt;1992&lt;/year&gt;&lt;/dates&gt;&lt;pub-location&gt;Stuttgart&lt;/pub-location&gt;&lt;urls&gt;&lt;/urls&gt;&lt;/record&gt;&lt;/Cite&gt;&lt;Cite&gt;&lt;Author&gt;Luther&lt;/Author&gt;&lt;Year&gt;1991&lt;/Year&gt;&lt;RecNum&gt;2173&lt;/RecNum&gt;&lt;record&gt;&lt;rec-number&gt;2173&lt;/rec-number&gt;&lt;foreign-keys&gt;&lt;key app="EN" db-id="0t0dxv9vetdatmef0a959d9wdwf995aa9dxw" timestamp="1311245664"&gt;2173&lt;/key&gt;&lt;/foreign-keys&gt;&lt;ref-type name="Journal Article"&gt;17&lt;/ref-type&gt;&lt;contributors&gt;&lt;authors&gt;&lt;author&gt;Henning Luther&lt;/author&gt;&lt;/authors&gt;&lt;/contributors&gt;&lt;titles&gt;&lt;title&gt;Leben als Fragment. Der Mythos von der Ganzheit&lt;/title&gt;&lt;secondary-title&gt;WzM&lt;/secondary-title&gt;&lt;/titles&gt;&lt;periodical&gt;&lt;full-title&gt;WzM&lt;/full-title&gt;&lt;/periodical&gt;&lt;pages&gt;262-273&lt;/pages&gt;&lt;volume&gt;43&lt;/volume&gt;&lt;dates&gt;&lt;year&gt;1991&lt;/year&gt;&lt;/dates&gt;&lt;urls&gt;&lt;/urls&gt;&lt;/record&gt;&lt;/Cite&gt;&lt;/EndNote&gt;</w:instrText>
      </w:r>
      <w:r w:rsidRPr="00900D72">
        <w:fldChar w:fldCharType="separate"/>
      </w:r>
      <w:r>
        <w:rPr>
          <w:noProof/>
        </w:rPr>
        <w:t xml:space="preserve">Henning Luther 1992, ; Henning Luther 1991, </w:t>
      </w:r>
      <w:r w:rsidRPr="00900D72">
        <w:fldChar w:fldCharType="end"/>
      </w:r>
      <w:r w:rsidRPr="00900D72">
        <w:t>160-182.</w:t>
      </w:r>
      <w:r>
        <w:t xml:space="preserve"> Vgl. auch </w:t>
      </w:r>
      <w:r>
        <w:fldChar w:fldCharType="begin"/>
      </w:r>
      <w:r>
        <w:instrText xml:space="preserve"> ADDIN EN.CITE &lt;EndNote&gt;&lt;Cite&gt;&lt;Author&gt;Fechtner&lt;/Author&gt;&lt;Year&gt;1999&lt;/Year&gt;&lt;RecNum&gt;2172&lt;/RecNum&gt;&lt;DisplayText&gt;Christian Fechtner 1999, &lt;/DisplayText&gt;&lt;record&gt;&lt;rec-number&gt;2172&lt;/rec-number&gt;&lt;foreign-keys&gt;&lt;key app="EN" db-id="0t0dxv9vetdatmef0a959d9wdwf995aa9dxw" timestamp="1311245473"&gt;2172&lt;/key&gt;&lt;/foreign-keys&gt;&lt;ref-type name="Book Section"&gt;5&lt;/ref-type&gt;&lt;contributors&gt;&lt;authors&gt;&lt;author&gt;Christian Fechtner&lt;/author&gt;&lt;/authors&gt;&lt;secondary-authors&gt;&lt;author&gt;Uta Pohl-Patalong&lt;/author&gt;&lt;author&gt;Frank Muchlinsky&lt;/author&gt;&lt;/secondary-authors&gt;&lt;/contributors&gt;&lt;titles&gt;&lt;title&gt;Sich nicht beruhigen lassen. Seelsorge nach Henning Luther&lt;/title&gt;&lt;secondary-title&gt;Seelsorge im Plural. Perspektiven für ein neues Jahrhundert&lt;/secondary-title&gt;&lt;/titles&gt;&lt;pages&gt;89-101&lt;/pages&gt;&lt;dates&gt;&lt;year&gt;1999&lt;/year&gt;&lt;/dates&gt;&lt;pub-location&gt;Hamburg&lt;/pub-location&gt;&lt;urls&gt;&lt;/urls&gt;&lt;/record&gt;&lt;/Cite&gt;&lt;/EndNote&gt;</w:instrText>
      </w:r>
      <w:r>
        <w:fldChar w:fldCharType="separate"/>
      </w:r>
      <w:r>
        <w:rPr>
          <w:noProof/>
        </w:rPr>
        <w:t xml:space="preserve">Christian Fechtner 1999, </w:t>
      </w:r>
      <w:r>
        <w:fldChar w:fldCharType="end"/>
      </w:r>
      <w:r>
        <w:t>96, der im Blick auf „Leben als Fragment“ vom „wirkungsvollsten Motiv“ spricht, das Henning Luther in den pra</w:t>
      </w:r>
      <w:r>
        <w:t>k</w:t>
      </w:r>
      <w:r>
        <w:t>tisch-theologischen Diskurs einbrachte.</w:t>
      </w:r>
    </w:p>
  </w:footnote>
  <w:footnote w:id="27">
    <w:p w14:paraId="1B833F46" w14:textId="77777777" w:rsidR="004F2AE4" w:rsidRDefault="004F2AE4" w:rsidP="004F2AE4">
      <w:pPr>
        <w:pStyle w:val="Funotentext"/>
      </w:pPr>
      <w:r w:rsidRPr="00CA467C">
        <w:rPr>
          <w:rStyle w:val="Funotenzeichen"/>
        </w:rPr>
        <w:footnoteRef/>
      </w:r>
      <w:r>
        <w:t xml:space="preserve"> </w:t>
      </w:r>
      <w:r>
        <w:fldChar w:fldCharType="begin"/>
      </w:r>
      <w:r>
        <w:instrText xml:space="preserve"> ADDIN EN.CITE &lt;EndNote&gt;&lt;Cite&gt;&lt;Author&gt;Grözinger&lt;/Author&gt;&lt;Year&gt;1994&lt;/Year&gt;&lt;RecNum&gt;1704&lt;/RecNum&gt;&lt;DisplayText&gt;Albrecht Grözinger 1994&lt;/DisplayText&gt;&lt;record&gt;&lt;rec-number&gt;1704&lt;/rec-number&gt;&lt;foreign-keys&gt;&lt;key app="EN" db-id="0t0dxv9vetdatmef0a959d9wdwf995aa9dxw" timestamp="1304075294"&gt;1704&lt;/key&gt;&lt;/foreign-keys&gt;&lt;ref-type name="Book"&gt;6&lt;/ref-type&gt;&lt;contributors&gt;&lt;authors&gt;&lt;author&gt;Albrecht Grözinger&lt;/author&gt;&lt;/authors&gt;&lt;/contributors&gt;&lt;titles&gt;&lt;title&gt;Differenz-Erfahrung. Ein Essay&lt;/title&gt;&lt;/titles&gt;&lt;dates&gt;&lt;year&gt;1994&lt;/year&gt;&lt;/dates&gt;&lt;pub-location&gt;Waltrop&lt;/pub-location&gt;&lt;urls&gt;&lt;/urls&gt;&lt;/record&gt;&lt;/Cite&gt;&lt;/EndNote&gt;</w:instrText>
      </w:r>
      <w:r>
        <w:fldChar w:fldCharType="separate"/>
      </w:r>
      <w:r>
        <w:rPr>
          <w:noProof/>
        </w:rPr>
        <w:t>Albrecht Grözinger 1994</w:t>
      </w:r>
      <w:r>
        <w:fldChar w:fldCharType="end"/>
      </w:r>
      <w:r>
        <w:t>, 60.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FE43EF" w:rsidRDefault="00FE43EF">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FE43EF" w:rsidRDefault="00FE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FE43EF" w:rsidRDefault="00FE43EF"/>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FE43EF" w:rsidRPr="00892CF7" w:rsidRDefault="00FE43EF">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5"/>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extkrpereinzug2"/>
      <w:lvlText w:val=""/>
      <w:lvlJc w:val="left"/>
      <w:pPr>
        <w:tabs>
          <w:tab w:val="num" w:pos="1211"/>
        </w:tabs>
        <w:ind w:left="1211" w:hanging="360"/>
      </w:pPr>
      <w:rPr>
        <w:rFonts w:ascii="Wingdings 3" w:hAnsi="Wingdings 3" w:hint="default"/>
        <w:color w:val="FF0000"/>
      </w:rPr>
    </w:lvl>
  </w:abstractNum>
  <w:abstractNum w:abstractNumId="2">
    <w:nsid w:val="FFFFFF89"/>
    <w:multiLevelType w:val="singleLevel"/>
    <w:tmpl w:val="133C438E"/>
    <w:lvl w:ilvl="0">
      <w:start w:val="1"/>
      <w:numFmt w:val="bullet"/>
      <w:pStyle w:val="Titel"/>
      <w:lvlText w:val=""/>
      <w:lvlJc w:val="left"/>
      <w:pPr>
        <w:tabs>
          <w:tab w:val="num" w:pos="360"/>
        </w:tabs>
        <w:ind w:left="360" w:hanging="360"/>
      </w:pPr>
      <w:rPr>
        <w:rFonts w:ascii="Symbol" w:hAnsi="Symbol" w:hint="default"/>
      </w:rPr>
    </w:lvl>
  </w:abstractNum>
  <w:abstractNum w:abstractNumId="3">
    <w:nsid w:val="00D51B61"/>
    <w:multiLevelType w:val="hybridMultilevel"/>
    <w:tmpl w:val="41CA7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20240B"/>
    <w:multiLevelType w:val="hybridMultilevel"/>
    <w:tmpl w:val="C4881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2FB6CB3"/>
    <w:multiLevelType w:val="hybridMultilevel"/>
    <w:tmpl w:val="DEF60B9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C81CD5"/>
    <w:multiLevelType w:val="hybridMultilevel"/>
    <w:tmpl w:val="528A0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319605B2"/>
    <w:multiLevelType w:val="hybridMultilevel"/>
    <w:tmpl w:val="16B0D18E"/>
    <w:lvl w:ilvl="0" w:tplc="6DBADF96">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1">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3">
    <w:nsid w:val="4F8F71FE"/>
    <w:multiLevelType w:val="hybridMultilevel"/>
    <w:tmpl w:val="C826D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779106A"/>
    <w:multiLevelType w:val="hybridMultilevel"/>
    <w:tmpl w:val="D87A4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610843BA"/>
    <w:multiLevelType w:val="hybridMultilevel"/>
    <w:tmpl w:val="F7A40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2F068A0"/>
    <w:multiLevelType w:val="hybridMultilevel"/>
    <w:tmpl w:val="3586A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11759FE"/>
    <w:multiLevelType w:val="hybridMultilevel"/>
    <w:tmpl w:val="1B4ED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0">
    <w:nsid w:val="7C78583F"/>
    <w:multiLevelType w:val="hybridMultilevel"/>
    <w:tmpl w:val="50F098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9"/>
  </w:num>
  <w:num w:numId="3">
    <w:abstractNumId w:val="11"/>
  </w:num>
  <w:num w:numId="4">
    <w:abstractNumId w:val="8"/>
  </w:num>
  <w:num w:numId="5">
    <w:abstractNumId w:val="15"/>
  </w:num>
  <w:num w:numId="6">
    <w:abstractNumId w:val="5"/>
  </w:num>
  <w:num w:numId="7">
    <w:abstractNumId w:val="1"/>
  </w:num>
  <w:num w:numId="8">
    <w:abstractNumId w:val="0"/>
  </w:num>
  <w:num w:numId="9">
    <w:abstractNumId w:val="12"/>
  </w:num>
  <w:num w:numId="10">
    <w:abstractNumId w:val="2"/>
  </w:num>
  <w:num w:numId="11">
    <w:abstractNumId w:val="17"/>
  </w:num>
  <w:num w:numId="12">
    <w:abstractNumId w:val="14"/>
  </w:num>
  <w:num w:numId="13">
    <w:abstractNumId w:val="18"/>
  </w:num>
  <w:num w:numId="14">
    <w:abstractNumId w:val="3"/>
  </w:num>
  <w:num w:numId="15">
    <w:abstractNumId w:val="16"/>
  </w:num>
  <w:num w:numId="16">
    <w:abstractNumId w:val="4"/>
  </w:num>
  <w:num w:numId="17">
    <w:abstractNumId w:val="13"/>
  </w:num>
  <w:num w:numId="18">
    <w:abstractNumId w:val="7"/>
  </w:num>
  <w:num w:numId="19">
    <w:abstractNumId w:val="9"/>
  </w:num>
  <w:num w:numId="20">
    <w:abstractNumId w:val="6"/>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lt;Libraries&gt;&lt;/Libraries&gt;"/>
  </w:docVars>
  <w:rsids>
    <w:rsidRoot w:val="000A408C"/>
    <w:rsid w:val="00001311"/>
    <w:rsid w:val="00001E30"/>
    <w:rsid w:val="00004E95"/>
    <w:rsid w:val="00005F0F"/>
    <w:rsid w:val="000079BF"/>
    <w:rsid w:val="00011A6A"/>
    <w:rsid w:val="000174BB"/>
    <w:rsid w:val="00021000"/>
    <w:rsid w:val="000274B2"/>
    <w:rsid w:val="00036C08"/>
    <w:rsid w:val="0004448B"/>
    <w:rsid w:val="0004607D"/>
    <w:rsid w:val="00046B2F"/>
    <w:rsid w:val="000476E0"/>
    <w:rsid w:val="000514F8"/>
    <w:rsid w:val="000562F4"/>
    <w:rsid w:val="00056B11"/>
    <w:rsid w:val="00064F9B"/>
    <w:rsid w:val="0007528F"/>
    <w:rsid w:val="00076AFD"/>
    <w:rsid w:val="00082F99"/>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59F7"/>
    <w:rsid w:val="000F676F"/>
    <w:rsid w:val="00105EA9"/>
    <w:rsid w:val="00106C75"/>
    <w:rsid w:val="0012149E"/>
    <w:rsid w:val="001258C2"/>
    <w:rsid w:val="00125C10"/>
    <w:rsid w:val="00133644"/>
    <w:rsid w:val="00135007"/>
    <w:rsid w:val="0013541C"/>
    <w:rsid w:val="00136D73"/>
    <w:rsid w:val="00140FE3"/>
    <w:rsid w:val="00143DFA"/>
    <w:rsid w:val="00167118"/>
    <w:rsid w:val="001728E8"/>
    <w:rsid w:val="0017325D"/>
    <w:rsid w:val="0018135B"/>
    <w:rsid w:val="00182B18"/>
    <w:rsid w:val="001842C7"/>
    <w:rsid w:val="00184C11"/>
    <w:rsid w:val="00187683"/>
    <w:rsid w:val="001925A1"/>
    <w:rsid w:val="001973E9"/>
    <w:rsid w:val="001A1B7F"/>
    <w:rsid w:val="001A22FB"/>
    <w:rsid w:val="001A5C8E"/>
    <w:rsid w:val="001A6B13"/>
    <w:rsid w:val="001B2EB4"/>
    <w:rsid w:val="001B4095"/>
    <w:rsid w:val="001B4BF6"/>
    <w:rsid w:val="001B58E0"/>
    <w:rsid w:val="001C06CF"/>
    <w:rsid w:val="001C69FD"/>
    <w:rsid w:val="001D357C"/>
    <w:rsid w:val="001D38AA"/>
    <w:rsid w:val="001E3C91"/>
    <w:rsid w:val="001E6BF7"/>
    <w:rsid w:val="001E6FD2"/>
    <w:rsid w:val="001E7F0F"/>
    <w:rsid w:val="001F4D81"/>
    <w:rsid w:val="001F7FD9"/>
    <w:rsid w:val="002018E3"/>
    <w:rsid w:val="00204651"/>
    <w:rsid w:val="00212A86"/>
    <w:rsid w:val="002207CA"/>
    <w:rsid w:val="002273F2"/>
    <w:rsid w:val="00227E3D"/>
    <w:rsid w:val="00246B16"/>
    <w:rsid w:val="002522E9"/>
    <w:rsid w:val="00256EAE"/>
    <w:rsid w:val="0027284F"/>
    <w:rsid w:val="002765A3"/>
    <w:rsid w:val="00280941"/>
    <w:rsid w:val="00281C86"/>
    <w:rsid w:val="00291DDA"/>
    <w:rsid w:val="00293AAF"/>
    <w:rsid w:val="00296471"/>
    <w:rsid w:val="002B0331"/>
    <w:rsid w:val="002B773C"/>
    <w:rsid w:val="002D5001"/>
    <w:rsid w:val="002E1A47"/>
    <w:rsid w:val="002E563B"/>
    <w:rsid w:val="002F49B7"/>
    <w:rsid w:val="002F6DEC"/>
    <w:rsid w:val="003022DD"/>
    <w:rsid w:val="0030459A"/>
    <w:rsid w:val="00320749"/>
    <w:rsid w:val="00327981"/>
    <w:rsid w:val="00327BD7"/>
    <w:rsid w:val="003344E8"/>
    <w:rsid w:val="003423F8"/>
    <w:rsid w:val="0034392A"/>
    <w:rsid w:val="00343A0B"/>
    <w:rsid w:val="003465A1"/>
    <w:rsid w:val="00364917"/>
    <w:rsid w:val="00370F14"/>
    <w:rsid w:val="0037503E"/>
    <w:rsid w:val="00380A44"/>
    <w:rsid w:val="00383832"/>
    <w:rsid w:val="00393F2E"/>
    <w:rsid w:val="003975FB"/>
    <w:rsid w:val="003B0E4E"/>
    <w:rsid w:val="003C329C"/>
    <w:rsid w:val="003D423D"/>
    <w:rsid w:val="003E2FED"/>
    <w:rsid w:val="003E38B9"/>
    <w:rsid w:val="003E3BDD"/>
    <w:rsid w:val="003E4591"/>
    <w:rsid w:val="003F32C4"/>
    <w:rsid w:val="003F4DF3"/>
    <w:rsid w:val="004078C5"/>
    <w:rsid w:val="004213F2"/>
    <w:rsid w:val="00426239"/>
    <w:rsid w:val="00433F2A"/>
    <w:rsid w:val="00435235"/>
    <w:rsid w:val="0045224B"/>
    <w:rsid w:val="00454375"/>
    <w:rsid w:val="004619F1"/>
    <w:rsid w:val="0047432E"/>
    <w:rsid w:val="00491E6C"/>
    <w:rsid w:val="004A2B42"/>
    <w:rsid w:val="004B17F4"/>
    <w:rsid w:val="004B2181"/>
    <w:rsid w:val="004B59AA"/>
    <w:rsid w:val="004C0020"/>
    <w:rsid w:val="004C135E"/>
    <w:rsid w:val="004D08BE"/>
    <w:rsid w:val="004D19CA"/>
    <w:rsid w:val="004E7896"/>
    <w:rsid w:val="004F1549"/>
    <w:rsid w:val="004F1E50"/>
    <w:rsid w:val="004F2AE4"/>
    <w:rsid w:val="00500B5C"/>
    <w:rsid w:val="00506A09"/>
    <w:rsid w:val="00511811"/>
    <w:rsid w:val="00522311"/>
    <w:rsid w:val="00531F45"/>
    <w:rsid w:val="00534574"/>
    <w:rsid w:val="0054397E"/>
    <w:rsid w:val="00554CB5"/>
    <w:rsid w:val="00567CCC"/>
    <w:rsid w:val="00572D89"/>
    <w:rsid w:val="00574FDF"/>
    <w:rsid w:val="005813B2"/>
    <w:rsid w:val="00582993"/>
    <w:rsid w:val="0058372D"/>
    <w:rsid w:val="005870D7"/>
    <w:rsid w:val="00591713"/>
    <w:rsid w:val="005A16CF"/>
    <w:rsid w:val="005A5A11"/>
    <w:rsid w:val="005A5E0C"/>
    <w:rsid w:val="005B6187"/>
    <w:rsid w:val="005C0A19"/>
    <w:rsid w:val="005D166B"/>
    <w:rsid w:val="005D2B87"/>
    <w:rsid w:val="005D3E1B"/>
    <w:rsid w:val="005D5158"/>
    <w:rsid w:val="005D5F62"/>
    <w:rsid w:val="005E68B4"/>
    <w:rsid w:val="005F1FE5"/>
    <w:rsid w:val="005F591A"/>
    <w:rsid w:val="0060382E"/>
    <w:rsid w:val="00604824"/>
    <w:rsid w:val="0060535D"/>
    <w:rsid w:val="0061636B"/>
    <w:rsid w:val="00616E92"/>
    <w:rsid w:val="00617EF9"/>
    <w:rsid w:val="006208B7"/>
    <w:rsid w:val="0062680E"/>
    <w:rsid w:val="006333F3"/>
    <w:rsid w:val="006409ED"/>
    <w:rsid w:val="00643633"/>
    <w:rsid w:val="0064710B"/>
    <w:rsid w:val="006523D3"/>
    <w:rsid w:val="00652CC1"/>
    <w:rsid w:val="00654C4C"/>
    <w:rsid w:val="00666D11"/>
    <w:rsid w:val="006719B9"/>
    <w:rsid w:val="0067367A"/>
    <w:rsid w:val="00695099"/>
    <w:rsid w:val="00695C6F"/>
    <w:rsid w:val="006A46AE"/>
    <w:rsid w:val="006B09CD"/>
    <w:rsid w:val="006C54BE"/>
    <w:rsid w:val="006D386C"/>
    <w:rsid w:val="006D5843"/>
    <w:rsid w:val="006D61FD"/>
    <w:rsid w:val="006D7579"/>
    <w:rsid w:val="006E41A4"/>
    <w:rsid w:val="006F3DCC"/>
    <w:rsid w:val="006F550A"/>
    <w:rsid w:val="0070181E"/>
    <w:rsid w:val="007019E0"/>
    <w:rsid w:val="00703872"/>
    <w:rsid w:val="00705AB3"/>
    <w:rsid w:val="00710E26"/>
    <w:rsid w:val="00712BB2"/>
    <w:rsid w:val="007177F4"/>
    <w:rsid w:val="00721580"/>
    <w:rsid w:val="00725BFC"/>
    <w:rsid w:val="00734A9A"/>
    <w:rsid w:val="007427A2"/>
    <w:rsid w:val="0075307A"/>
    <w:rsid w:val="00757420"/>
    <w:rsid w:val="007756D0"/>
    <w:rsid w:val="00780BE5"/>
    <w:rsid w:val="00781091"/>
    <w:rsid w:val="007848D4"/>
    <w:rsid w:val="007920F9"/>
    <w:rsid w:val="007A048B"/>
    <w:rsid w:val="007B01D3"/>
    <w:rsid w:val="007B2961"/>
    <w:rsid w:val="007D163A"/>
    <w:rsid w:val="007D1BCB"/>
    <w:rsid w:val="007D30AF"/>
    <w:rsid w:val="007D352D"/>
    <w:rsid w:val="007D6B13"/>
    <w:rsid w:val="007E33E4"/>
    <w:rsid w:val="007E3D60"/>
    <w:rsid w:val="007E6236"/>
    <w:rsid w:val="007F3CDA"/>
    <w:rsid w:val="007F690C"/>
    <w:rsid w:val="007F7C15"/>
    <w:rsid w:val="0080544F"/>
    <w:rsid w:val="00813814"/>
    <w:rsid w:val="008207FB"/>
    <w:rsid w:val="0083053A"/>
    <w:rsid w:val="008305E9"/>
    <w:rsid w:val="0083071F"/>
    <w:rsid w:val="00837297"/>
    <w:rsid w:val="00844AB1"/>
    <w:rsid w:val="00856EE3"/>
    <w:rsid w:val="00867F6C"/>
    <w:rsid w:val="008701F3"/>
    <w:rsid w:val="00871E35"/>
    <w:rsid w:val="00874353"/>
    <w:rsid w:val="008804E2"/>
    <w:rsid w:val="00891081"/>
    <w:rsid w:val="008A21BE"/>
    <w:rsid w:val="008A6BD7"/>
    <w:rsid w:val="008A7BCE"/>
    <w:rsid w:val="008B04E4"/>
    <w:rsid w:val="008B4A0B"/>
    <w:rsid w:val="008C07DF"/>
    <w:rsid w:val="008C6E64"/>
    <w:rsid w:val="008D7468"/>
    <w:rsid w:val="008D7ADC"/>
    <w:rsid w:val="008E20E3"/>
    <w:rsid w:val="008E735F"/>
    <w:rsid w:val="008F49D4"/>
    <w:rsid w:val="008F7AF1"/>
    <w:rsid w:val="009108DA"/>
    <w:rsid w:val="009138F7"/>
    <w:rsid w:val="0091430E"/>
    <w:rsid w:val="0091504F"/>
    <w:rsid w:val="00934BEB"/>
    <w:rsid w:val="009370BE"/>
    <w:rsid w:val="00954918"/>
    <w:rsid w:val="00954D75"/>
    <w:rsid w:val="00960F3C"/>
    <w:rsid w:val="00964EE3"/>
    <w:rsid w:val="0096549F"/>
    <w:rsid w:val="00973A14"/>
    <w:rsid w:val="00980C8C"/>
    <w:rsid w:val="00991599"/>
    <w:rsid w:val="009929ED"/>
    <w:rsid w:val="009A538A"/>
    <w:rsid w:val="009A793A"/>
    <w:rsid w:val="009B0929"/>
    <w:rsid w:val="009B1868"/>
    <w:rsid w:val="009B3918"/>
    <w:rsid w:val="009C01D5"/>
    <w:rsid w:val="009C31EA"/>
    <w:rsid w:val="009C7EB5"/>
    <w:rsid w:val="009D1473"/>
    <w:rsid w:val="009D26D0"/>
    <w:rsid w:val="009D302B"/>
    <w:rsid w:val="009D38D4"/>
    <w:rsid w:val="009D5192"/>
    <w:rsid w:val="009D53C9"/>
    <w:rsid w:val="009D69EC"/>
    <w:rsid w:val="009D6A5C"/>
    <w:rsid w:val="009E098D"/>
    <w:rsid w:val="009E657E"/>
    <w:rsid w:val="009F015D"/>
    <w:rsid w:val="009F346B"/>
    <w:rsid w:val="009F7E8A"/>
    <w:rsid w:val="00A06460"/>
    <w:rsid w:val="00A10245"/>
    <w:rsid w:val="00A126F0"/>
    <w:rsid w:val="00A13D72"/>
    <w:rsid w:val="00A20AF7"/>
    <w:rsid w:val="00A31325"/>
    <w:rsid w:val="00A459EB"/>
    <w:rsid w:val="00A67BAA"/>
    <w:rsid w:val="00A7143E"/>
    <w:rsid w:val="00A71600"/>
    <w:rsid w:val="00A7411D"/>
    <w:rsid w:val="00A82BA2"/>
    <w:rsid w:val="00A9078D"/>
    <w:rsid w:val="00A91DE9"/>
    <w:rsid w:val="00A9508B"/>
    <w:rsid w:val="00AA3676"/>
    <w:rsid w:val="00AA57F1"/>
    <w:rsid w:val="00AB45D2"/>
    <w:rsid w:val="00AB6A7C"/>
    <w:rsid w:val="00AB7E66"/>
    <w:rsid w:val="00AC277A"/>
    <w:rsid w:val="00AC47E9"/>
    <w:rsid w:val="00AC5260"/>
    <w:rsid w:val="00AC5AF8"/>
    <w:rsid w:val="00AD161A"/>
    <w:rsid w:val="00AD2771"/>
    <w:rsid w:val="00AD412D"/>
    <w:rsid w:val="00AD42E9"/>
    <w:rsid w:val="00AE6EA8"/>
    <w:rsid w:val="00AE7CCD"/>
    <w:rsid w:val="00AF12F9"/>
    <w:rsid w:val="00B028E1"/>
    <w:rsid w:val="00B04646"/>
    <w:rsid w:val="00B1171A"/>
    <w:rsid w:val="00B12CC8"/>
    <w:rsid w:val="00B12EF5"/>
    <w:rsid w:val="00B1350C"/>
    <w:rsid w:val="00B14435"/>
    <w:rsid w:val="00B2381E"/>
    <w:rsid w:val="00B32771"/>
    <w:rsid w:val="00B34B3C"/>
    <w:rsid w:val="00B4438D"/>
    <w:rsid w:val="00B468D8"/>
    <w:rsid w:val="00B50B9B"/>
    <w:rsid w:val="00B56CB1"/>
    <w:rsid w:val="00B603F9"/>
    <w:rsid w:val="00B631DB"/>
    <w:rsid w:val="00B70834"/>
    <w:rsid w:val="00B741EC"/>
    <w:rsid w:val="00B743BE"/>
    <w:rsid w:val="00B7695A"/>
    <w:rsid w:val="00B84C23"/>
    <w:rsid w:val="00B85770"/>
    <w:rsid w:val="00B87CCF"/>
    <w:rsid w:val="00B92B92"/>
    <w:rsid w:val="00B97222"/>
    <w:rsid w:val="00BA71D5"/>
    <w:rsid w:val="00BB4C32"/>
    <w:rsid w:val="00BB6143"/>
    <w:rsid w:val="00BC0022"/>
    <w:rsid w:val="00BC002F"/>
    <w:rsid w:val="00BC17F0"/>
    <w:rsid w:val="00BC3AC0"/>
    <w:rsid w:val="00BD14EE"/>
    <w:rsid w:val="00BD4D1A"/>
    <w:rsid w:val="00BD5B95"/>
    <w:rsid w:val="00BD69E4"/>
    <w:rsid w:val="00BF617C"/>
    <w:rsid w:val="00C02644"/>
    <w:rsid w:val="00C03592"/>
    <w:rsid w:val="00C0409B"/>
    <w:rsid w:val="00C055E2"/>
    <w:rsid w:val="00C06426"/>
    <w:rsid w:val="00C11FDC"/>
    <w:rsid w:val="00C12026"/>
    <w:rsid w:val="00C2550A"/>
    <w:rsid w:val="00C31256"/>
    <w:rsid w:val="00C31C1E"/>
    <w:rsid w:val="00C41BE5"/>
    <w:rsid w:val="00C441C8"/>
    <w:rsid w:val="00C44E23"/>
    <w:rsid w:val="00C45382"/>
    <w:rsid w:val="00C469C0"/>
    <w:rsid w:val="00C50724"/>
    <w:rsid w:val="00C52903"/>
    <w:rsid w:val="00C86A4A"/>
    <w:rsid w:val="00C9529B"/>
    <w:rsid w:val="00CA00D6"/>
    <w:rsid w:val="00CA22EE"/>
    <w:rsid w:val="00CA4F77"/>
    <w:rsid w:val="00CA77E7"/>
    <w:rsid w:val="00CB1C89"/>
    <w:rsid w:val="00CB2CC5"/>
    <w:rsid w:val="00CC06C5"/>
    <w:rsid w:val="00CC5CBF"/>
    <w:rsid w:val="00CD042B"/>
    <w:rsid w:val="00CD069D"/>
    <w:rsid w:val="00CD30A5"/>
    <w:rsid w:val="00CD6914"/>
    <w:rsid w:val="00CD7B59"/>
    <w:rsid w:val="00CE0286"/>
    <w:rsid w:val="00CF0B56"/>
    <w:rsid w:val="00CF25A3"/>
    <w:rsid w:val="00D11581"/>
    <w:rsid w:val="00D16BB6"/>
    <w:rsid w:val="00D2271E"/>
    <w:rsid w:val="00D23D90"/>
    <w:rsid w:val="00D45723"/>
    <w:rsid w:val="00D46F68"/>
    <w:rsid w:val="00D51502"/>
    <w:rsid w:val="00D55F63"/>
    <w:rsid w:val="00D56773"/>
    <w:rsid w:val="00D646B4"/>
    <w:rsid w:val="00D66170"/>
    <w:rsid w:val="00D7129F"/>
    <w:rsid w:val="00D770F7"/>
    <w:rsid w:val="00D84F10"/>
    <w:rsid w:val="00D85BF0"/>
    <w:rsid w:val="00DA0AE7"/>
    <w:rsid w:val="00DA45F8"/>
    <w:rsid w:val="00DA6396"/>
    <w:rsid w:val="00DB1B31"/>
    <w:rsid w:val="00DB4B45"/>
    <w:rsid w:val="00DB6CA9"/>
    <w:rsid w:val="00DC0402"/>
    <w:rsid w:val="00DD08EE"/>
    <w:rsid w:val="00DD10E8"/>
    <w:rsid w:val="00DE21A8"/>
    <w:rsid w:val="00DE5C73"/>
    <w:rsid w:val="00DE5DE5"/>
    <w:rsid w:val="00DE6F91"/>
    <w:rsid w:val="00DF4051"/>
    <w:rsid w:val="00DF4D94"/>
    <w:rsid w:val="00DF5A6E"/>
    <w:rsid w:val="00E00C5E"/>
    <w:rsid w:val="00E01129"/>
    <w:rsid w:val="00E032A8"/>
    <w:rsid w:val="00E0568A"/>
    <w:rsid w:val="00E15A3E"/>
    <w:rsid w:val="00E16C01"/>
    <w:rsid w:val="00E21C60"/>
    <w:rsid w:val="00E329F0"/>
    <w:rsid w:val="00E41A54"/>
    <w:rsid w:val="00E55CC0"/>
    <w:rsid w:val="00E63F84"/>
    <w:rsid w:val="00E65581"/>
    <w:rsid w:val="00E66A61"/>
    <w:rsid w:val="00E7277D"/>
    <w:rsid w:val="00E73222"/>
    <w:rsid w:val="00E74ADD"/>
    <w:rsid w:val="00E815E9"/>
    <w:rsid w:val="00E83E6D"/>
    <w:rsid w:val="00E87938"/>
    <w:rsid w:val="00E97EA4"/>
    <w:rsid w:val="00EA42DB"/>
    <w:rsid w:val="00EA5F8A"/>
    <w:rsid w:val="00EA61CF"/>
    <w:rsid w:val="00EA753F"/>
    <w:rsid w:val="00EA7DC0"/>
    <w:rsid w:val="00EB44EE"/>
    <w:rsid w:val="00EB55C3"/>
    <w:rsid w:val="00EB636E"/>
    <w:rsid w:val="00EC7DEC"/>
    <w:rsid w:val="00ED2836"/>
    <w:rsid w:val="00ED2A01"/>
    <w:rsid w:val="00ED5E87"/>
    <w:rsid w:val="00ED6ABE"/>
    <w:rsid w:val="00ED6E7D"/>
    <w:rsid w:val="00EE021E"/>
    <w:rsid w:val="00EE25FD"/>
    <w:rsid w:val="00EE3027"/>
    <w:rsid w:val="00EE6F42"/>
    <w:rsid w:val="00EF7A58"/>
    <w:rsid w:val="00F015D7"/>
    <w:rsid w:val="00F05C7E"/>
    <w:rsid w:val="00F1025A"/>
    <w:rsid w:val="00F27FB4"/>
    <w:rsid w:val="00F36543"/>
    <w:rsid w:val="00F436A9"/>
    <w:rsid w:val="00F46292"/>
    <w:rsid w:val="00F47179"/>
    <w:rsid w:val="00F532E1"/>
    <w:rsid w:val="00F71AAF"/>
    <w:rsid w:val="00F7440B"/>
    <w:rsid w:val="00F76F21"/>
    <w:rsid w:val="00F8097C"/>
    <w:rsid w:val="00F87C17"/>
    <w:rsid w:val="00F953CB"/>
    <w:rsid w:val="00FA025B"/>
    <w:rsid w:val="00FA30E6"/>
    <w:rsid w:val="00FA4558"/>
    <w:rsid w:val="00FA531A"/>
    <w:rsid w:val="00FA5CC6"/>
    <w:rsid w:val="00FA7D33"/>
    <w:rsid w:val="00FB4E22"/>
    <w:rsid w:val="00FB7252"/>
    <w:rsid w:val="00FD0FD7"/>
    <w:rsid w:val="00FD122C"/>
    <w:rsid w:val="00FD4A81"/>
    <w:rsid w:val="00FD4C13"/>
    <w:rsid w:val="00FD5F39"/>
    <w:rsid w:val="00FD7E9E"/>
    <w:rsid w:val="00FE0E27"/>
    <w:rsid w:val="00FE1660"/>
    <w:rsid w:val="00FE28AF"/>
    <w:rsid w:val="00FE3166"/>
    <w:rsid w:val="00FE43EF"/>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21785115">
      <w:bodyDiv w:val="1"/>
      <w:marLeft w:val="0"/>
      <w:marRight w:val="0"/>
      <w:marTop w:val="0"/>
      <w:marBottom w:val="0"/>
      <w:divBdr>
        <w:top w:val="none" w:sz="0" w:space="0" w:color="auto"/>
        <w:left w:val="none" w:sz="0" w:space="0" w:color="auto"/>
        <w:bottom w:val="none" w:sz="0" w:space="0" w:color="auto"/>
        <w:right w:val="none" w:sz="0" w:space="0" w:color="auto"/>
      </w:divBdr>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72911111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2115</Words>
  <Characters>13325</Characters>
  <Application>Microsoft Macintosh Word</Application>
  <DocSecurity>0</DocSecurity>
  <Lines>111</Lines>
  <Paragraphs>30</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15410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21</cp:revision>
  <cp:lastPrinted>2010-01-08T13:27:00Z</cp:lastPrinted>
  <dcterms:created xsi:type="dcterms:W3CDTF">2013-11-27T14:11:00Z</dcterms:created>
  <dcterms:modified xsi:type="dcterms:W3CDTF">2013-11-27T15:27:00Z</dcterms:modified>
</cp:coreProperties>
</file>